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12" w:rsidRPr="00A31F1B" w:rsidRDefault="007A41A7" w:rsidP="007A41A7">
      <w:pPr>
        <w:rPr>
          <w:rFonts w:ascii="Times New Roman" w:hAnsi="Times New Roman"/>
          <w:b/>
          <w:bCs/>
          <w:sz w:val="24"/>
          <w:szCs w:val="24"/>
        </w:rPr>
      </w:pPr>
      <w:r w:rsidRPr="00A31F1B">
        <w:rPr>
          <w:rFonts w:ascii="Times New Roman" w:hAnsi="Times New Roman"/>
          <w:b/>
          <w:bCs/>
          <w:sz w:val="24"/>
          <w:szCs w:val="24"/>
        </w:rPr>
        <w:t>SVEUČILIŠT</w:t>
      </w:r>
      <w:r w:rsidR="00197212" w:rsidRPr="00A31F1B">
        <w:rPr>
          <w:rFonts w:ascii="Times New Roman" w:hAnsi="Times New Roman"/>
          <w:b/>
          <w:bCs/>
          <w:sz w:val="24"/>
          <w:szCs w:val="24"/>
        </w:rPr>
        <w:t>E U ZAGREBU</w:t>
      </w:r>
    </w:p>
    <w:p w:rsidR="00B55A24" w:rsidRPr="00A31F1B" w:rsidRDefault="00197212" w:rsidP="007A41A7">
      <w:pPr>
        <w:rPr>
          <w:rFonts w:ascii="Times New Roman" w:hAnsi="Times New Roman"/>
          <w:b/>
          <w:bCs/>
          <w:sz w:val="24"/>
          <w:szCs w:val="24"/>
        </w:rPr>
      </w:pPr>
      <w:r w:rsidRPr="00A31F1B">
        <w:rPr>
          <w:rFonts w:ascii="Times New Roman" w:hAnsi="Times New Roman"/>
          <w:b/>
          <w:bCs/>
          <w:sz w:val="24"/>
          <w:szCs w:val="24"/>
        </w:rPr>
        <w:t>STOMATOLOŠKI</w:t>
      </w:r>
      <w:r w:rsidR="00A81F0E" w:rsidRPr="00A31F1B">
        <w:rPr>
          <w:rFonts w:ascii="Times New Roman" w:hAnsi="Times New Roman"/>
          <w:b/>
          <w:bCs/>
          <w:sz w:val="24"/>
          <w:szCs w:val="24"/>
        </w:rPr>
        <w:t xml:space="preserve"> FAKULTET</w:t>
      </w:r>
    </w:p>
    <w:p w:rsidR="00A81F0E" w:rsidRPr="00A31F1B" w:rsidRDefault="00197212" w:rsidP="007A41A7">
      <w:pPr>
        <w:rPr>
          <w:rFonts w:ascii="Times New Roman" w:hAnsi="Times New Roman"/>
          <w:b/>
          <w:bCs/>
          <w:sz w:val="24"/>
          <w:szCs w:val="24"/>
        </w:rPr>
      </w:pPr>
      <w:r w:rsidRPr="00A31F1B">
        <w:rPr>
          <w:rFonts w:ascii="Times New Roman" w:hAnsi="Times New Roman"/>
          <w:b/>
          <w:bCs/>
          <w:sz w:val="24"/>
          <w:szCs w:val="24"/>
        </w:rPr>
        <w:t>GUNDULIĆEVA 5</w:t>
      </w:r>
    </w:p>
    <w:p w:rsidR="00A81F0E" w:rsidRPr="00A31F1B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A31F1B">
        <w:rPr>
          <w:rFonts w:ascii="Times New Roman" w:hAnsi="Times New Roman"/>
          <w:b/>
          <w:bCs/>
          <w:sz w:val="24"/>
          <w:szCs w:val="24"/>
        </w:rPr>
        <w:t>10000 ZAGREB</w:t>
      </w:r>
    </w:p>
    <w:p w:rsidR="00A81F0E" w:rsidRPr="00A31F1B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A31F1B">
        <w:rPr>
          <w:rFonts w:ascii="Times New Roman" w:hAnsi="Times New Roman"/>
          <w:b/>
          <w:bCs/>
          <w:sz w:val="24"/>
          <w:szCs w:val="24"/>
        </w:rPr>
        <w:t xml:space="preserve">OIB: </w:t>
      </w:r>
      <w:r w:rsidR="00197212" w:rsidRPr="00A31F1B">
        <w:rPr>
          <w:rFonts w:ascii="Times New Roman" w:hAnsi="Times New Roman"/>
          <w:b/>
          <w:bCs/>
          <w:sz w:val="24"/>
          <w:szCs w:val="24"/>
        </w:rPr>
        <w:t>70221464726</w:t>
      </w:r>
    </w:p>
    <w:p w:rsidR="007A41A7" w:rsidRPr="00A31F1B" w:rsidRDefault="007A41A7" w:rsidP="007A41A7">
      <w:pPr>
        <w:rPr>
          <w:rFonts w:ascii="Times New Roman" w:hAnsi="Times New Roman"/>
          <w:b/>
          <w:bCs/>
          <w:sz w:val="24"/>
          <w:szCs w:val="24"/>
        </w:rPr>
      </w:pPr>
      <w:r w:rsidRPr="00A31F1B">
        <w:rPr>
          <w:rFonts w:ascii="Times New Roman" w:hAnsi="Times New Roman"/>
          <w:b/>
          <w:bCs/>
          <w:sz w:val="24"/>
          <w:szCs w:val="24"/>
        </w:rPr>
        <w:t>RKP: 018</w:t>
      </w:r>
      <w:r w:rsidR="00197212" w:rsidRPr="00A31F1B">
        <w:rPr>
          <w:rFonts w:ascii="Times New Roman" w:hAnsi="Times New Roman"/>
          <w:b/>
          <w:bCs/>
          <w:sz w:val="24"/>
          <w:szCs w:val="24"/>
        </w:rPr>
        <w:t>70</w:t>
      </w:r>
    </w:p>
    <w:p w:rsidR="00B55A24" w:rsidRPr="00A31F1B" w:rsidRDefault="00B55A24" w:rsidP="00A31F1B">
      <w:pPr>
        <w:rPr>
          <w:rFonts w:ascii="Times New Roman" w:hAnsi="Times New Roman"/>
          <w:b/>
          <w:bCs/>
          <w:sz w:val="24"/>
          <w:szCs w:val="24"/>
        </w:rPr>
      </w:pPr>
    </w:p>
    <w:p w:rsidR="00B55A24" w:rsidRPr="00A31F1B" w:rsidRDefault="00B55A24" w:rsidP="00A81F0E">
      <w:pPr>
        <w:rPr>
          <w:rFonts w:ascii="Times New Roman" w:hAnsi="Times New Roman"/>
          <w:b/>
          <w:bCs/>
          <w:sz w:val="24"/>
          <w:szCs w:val="24"/>
        </w:rPr>
      </w:pPr>
    </w:p>
    <w:p w:rsidR="00B55A24" w:rsidRPr="00A31F1B" w:rsidRDefault="00B55A24" w:rsidP="00A31F1B">
      <w:pPr>
        <w:rPr>
          <w:rFonts w:ascii="Times New Roman" w:hAnsi="Times New Roman"/>
          <w:b/>
          <w:bCs/>
          <w:sz w:val="24"/>
          <w:szCs w:val="24"/>
        </w:rPr>
      </w:pPr>
    </w:p>
    <w:p w:rsidR="00B55A24" w:rsidRPr="00E01CEF" w:rsidRDefault="00B55A24" w:rsidP="00FA2A5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01CEF">
        <w:rPr>
          <w:rFonts w:ascii="Times New Roman" w:hAnsi="Times New Roman"/>
          <w:b/>
          <w:bCs/>
          <w:sz w:val="24"/>
          <w:szCs w:val="24"/>
        </w:rPr>
        <w:t xml:space="preserve">OBRAZLOŽENJE </w:t>
      </w:r>
      <w:r w:rsidR="001735B6" w:rsidRPr="00E01CEF">
        <w:rPr>
          <w:rFonts w:ascii="Times New Roman" w:hAnsi="Times New Roman"/>
          <w:b/>
          <w:bCs/>
          <w:sz w:val="24"/>
          <w:szCs w:val="24"/>
        </w:rPr>
        <w:t xml:space="preserve">OPĆEG DIJELA </w:t>
      </w:r>
      <w:r w:rsidR="00FA2A5D" w:rsidRPr="00E01CEF">
        <w:rPr>
          <w:rFonts w:ascii="Times New Roman" w:hAnsi="Times New Roman"/>
          <w:b/>
          <w:bCs/>
          <w:sz w:val="24"/>
          <w:szCs w:val="24"/>
        </w:rPr>
        <w:t>POLUGODIŠNJEG IZVJEŠTAJA O IZVRŠENJU</w:t>
      </w:r>
      <w:r w:rsidR="00A414E2" w:rsidRPr="00E01C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1CEF">
        <w:rPr>
          <w:rFonts w:ascii="Times New Roman" w:hAnsi="Times New Roman"/>
          <w:b/>
          <w:bCs/>
          <w:sz w:val="24"/>
          <w:szCs w:val="24"/>
        </w:rPr>
        <w:t>FINANCIJSKOG PLANA ZA</w:t>
      </w:r>
      <w:r w:rsidR="006F4101" w:rsidRPr="00E01CEF"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="00FA2A5D" w:rsidRPr="00E01CE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E01CEF">
        <w:rPr>
          <w:rFonts w:ascii="Times New Roman" w:hAnsi="Times New Roman"/>
          <w:b/>
          <w:bCs/>
          <w:sz w:val="24"/>
          <w:szCs w:val="24"/>
        </w:rPr>
        <w:t>GODINU</w:t>
      </w:r>
    </w:p>
    <w:p w:rsidR="00B07E8A" w:rsidRDefault="00B07E8A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A2A5D" w:rsidRPr="00FA2A5D" w:rsidRDefault="00516C6C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16C6C">
        <w:rPr>
          <w:rFonts w:ascii="Times New Roman" w:hAnsi="Times New Roman"/>
          <w:bCs/>
          <w:sz w:val="24"/>
          <w:szCs w:val="24"/>
        </w:rPr>
        <w:t xml:space="preserve">Sukladno članku 81. Zakona o proračunu (NN 144/21) polugodišnji i godišnji izvještaj o izvršenju financijskog plana proračunskog i izvanproračunskog korisnika sadrže opći i posebni dio, obrazloženje i posebne izvještaje. </w:t>
      </w:r>
      <w:r w:rsidR="00FA2A5D" w:rsidRPr="00FA2A5D">
        <w:rPr>
          <w:rFonts w:ascii="Times New Roman" w:hAnsi="Times New Roman"/>
          <w:bCs/>
          <w:sz w:val="24"/>
          <w:szCs w:val="24"/>
        </w:rPr>
        <w:t>Izvještajem o izvršenju Financijskog plana omogućuje se praćenje ostvarenja planiranih pozicija prihoda, primitaka, rashoda, izdataka, viškova i manjkova unutar jedne prora</w:t>
      </w:r>
      <w:r>
        <w:rPr>
          <w:rFonts w:ascii="Times New Roman" w:hAnsi="Times New Roman"/>
          <w:bCs/>
          <w:sz w:val="24"/>
          <w:szCs w:val="24"/>
        </w:rPr>
        <w:t xml:space="preserve">čunske godine. </w:t>
      </w:r>
      <w:r w:rsidR="00FA2A5D">
        <w:rPr>
          <w:rFonts w:ascii="Times New Roman" w:hAnsi="Times New Roman"/>
          <w:bCs/>
          <w:sz w:val="24"/>
          <w:szCs w:val="24"/>
        </w:rPr>
        <w:t>Financijski plan Stomatološkog fakulteta</w:t>
      </w:r>
      <w:r>
        <w:rPr>
          <w:rFonts w:ascii="Times New Roman" w:hAnsi="Times New Roman"/>
          <w:bCs/>
          <w:sz w:val="24"/>
          <w:szCs w:val="24"/>
        </w:rPr>
        <w:t xml:space="preserve"> za 2025</w:t>
      </w:r>
      <w:r w:rsidR="00FA2A5D" w:rsidRPr="00FA2A5D">
        <w:rPr>
          <w:rFonts w:ascii="Times New Roman" w:hAnsi="Times New Roman"/>
          <w:bCs/>
          <w:sz w:val="24"/>
          <w:szCs w:val="24"/>
        </w:rPr>
        <w:t>. godinu čine prihodi i rashodi raspoređeni u programe koji se sastoje od aktivnosti i projekata, a iskazani su prema ekonomskoj i funkcijskoj klasifikaciji te izvorima financiranja. Donesen je na razini skupine (druga razina) ekonomske klasifikacije, dok se izvršenje prati na razini odjeljka ekonomske klasifikacije (četvrta razina).</w:t>
      </w:r>
    </w:p>
    <w:p w:rsidR="00FA2A5D" w:rsidRDefault="00FA2A5D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40955" w:rsidRDefault="00440955" w:rsidP="00FA2A5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SAŽETAK OPĆEG DIJELA</w:t>
      </w:r>
    </w:p>
    <w:p w:rsidR="00440955" w:rsidRDefault="00440955" w:rsidP="00FA2A5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40955" w:rsidRPr="00440955" w:rsidRDefault="00440955" w:rsidP="00440955">
      <w:pPr>
        <w:jc w:val="both"/>
        <w:rPr>
          <w:rFonts w:ascii="Times New Roman" w:hAnsi="Times New Roman"/>
          <w:bCs/>
          <w:sz w:val="24"/>
          <w:szCs w:val="24"/>
        </w:rPr>
      </w:pPr>
      <w:r w:rsidRPr="00440955">
        <w:rPr>
          <w:rFonts w:ascii="Times New Roman" w:hAnsi="Times New Roman"/>
          <w:bCs/>
          <w:sz w:val="24"/>
          <w:szCs w:val="24"/>
        </w:rPr>
        <w:t>Opć</w:t>
      </w:r>
      <w:r w:rsidR="001735B6">
        <w:rPr>
          <w:rFonts w:ascii="Times New Roman" w:hAnsi="Times New Roman"/>
          <w:bCs/>
          <w:sz w:val="24"/>
          <w:szCs w:val="24"/>
        </w:rPr>
        <w:t xml:space="preserve">i </w:t>
      </w:r>
      <w:r w:rsidR="00516C6C">
        <w:rPr>
          <w:rFonts w:ascii="Times New Roman" w:hAnsi="Times New Roman"/>
          <w:bCs/>
          <w:sz w:val="24"/>
          <w:szCs w:val="24"/>
        </w:rPr>
        <w:t>dio Financijskog plana za 2025</w:t>
      </w:r>
      <w:r w:rsidRPr="00440955">
        <w:rPr>
          <w:rFonts w:ascii="Times New Roman" w:hAnsi="Times New Roman"/>
          <w:bCs/>
          <w:sz w:val="24"/>
          <w:szCs w:val="24"/>
        </w:rPr>
        <w:t>. godinu sastoji se od Računa prihoda i rashoda, te prenesenog viška prihoda iz prethodnih godina.</w:t>
      </w:r>
    </w:p>
    <w:p w:rsidR="00440955" w:rsidRPr="00440955" w:rsidRDefault="00440955" w:rsidP="00440955">
      <w:pPr>
        <w:jc w:val="both"/>
        <w:rPr>
          <w:rFonts w:ascii="Times New Roman" w:hAnsi="Times New Roman"/>
          <w:bCs/>
          <w:sz w:val="24"/>
          <w:szCs w:val="24"/>
        </w:rPr>
      </w:pPr>
      <w:r w:rsidRPr="00440955">
        <w:rPr>
          <w:rFonts w:ascii="Times New Roman" w:hAnsi="Times New Roman"/>
          <w:bCs/>
          <w:sz w:val="24"/>
          <w:szCs w:val="24"/>
        </w:rPr>
        <w:t>Strukturu Financijskog plana čine:</w:t>
      </w:r>
    </w:p>
    <w:p w:rsidR="00440955" w:rsidRPr="00B07E8A" w:rsidRDefault="00440955" w:rsidP="00FE6E6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B07E8A">
        <w:rPr>
          <w:rFonts w:ascii="Times New Roman" w:hAnsi="Times New Roman"/>
          <w:bCs/>
          <w:sz w:val="24"/>
          <w:szCs w:val="24"/>
        </w:rPr>
        <w:t>prihodi poslovanja</w:t>
      </w:r>
      <w:r w:rsidR="004B6973" w:rsidRPr="00B07E8A">
        <w:rPr>
          <w:rFonts w:ascii="Times New Roman" w:hAnsi="Times New Roman"/>
          <w:bCs/>
          <w:sz w:val="24"/>
          <w:szCs w:val="24"/>
        </w:rPr>
        <w:t xml:space="preserve"> i prihodi od nefinancijske imovine</w:t>
      </w:r>
      <w:r w:rsidRPr="00B07E8A">
        <w:rPr>
          <w:rFonts w:ascii="Times New Roman" w:hAnsi="Times New Roman"/>
          <w:bCs/>
          <w:sz w:val="24"/>
          <w:szCs w:val="24"/>
        </w:rPr>
        <w:t xml:space="preserve">: </w:t>
      </w:r>
      <w:r w:rsidR="00B07E8A" w:rsidRPr="00B07E8A">
        <w:rPr>
          <w:rFonts w:ascii="Times New Roman" w:hAnsi="Times New Roman"/>
          <w:bCs/>
          <w:sz w:val="24"/>
          <w:szCs w:val="24"/>
        </w:rPr>
        <w:t>9.</w:t>
      </w:r>
      <w:r w:rsidR="00516C6C">
        <w:rPr>
          <w:rFonts w:ascii="Times New Roman" w:hAnsi="Times New Roman"/>
          <w:bCs/>
          <w:sz w:val="24"/>
          <w:szCs w:val="24"/>
        </w:rPr>
        <w:t>889.572</w:t>
      </w:r>
      <w:r w:rsidR="00416000">
        <w:rPr>
          <w:rFonts w:ascii="Times New Roman" w:hAnsi="Times New Roman"/>
          <w:bCs/>
          <w:sz w:val="24"/>
          <w:szCs w:val="24"/>
        </w:rPr>
        <w:t>,00 eura</w:t>
      </w:r>
      <w:r w:rsidRPr="00B07E8A">
        <w:rPr>
          <w:rFonts w:ascii="Times New Roman" w:hAnsi="Times New Roman"/>
          <w:bCs/>
          <w:sz w:val="24"/>
          <w:szCs w:val="24"/>
        </w:rPr>
        <w:t>,</w:t>
      </w:r>
    </w:p>
    <w:p w:rsidR="00440955" w:rsidRPr="00B07E8A" w:rsidRDefault="00440955" w:rsidP="00FE6E6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B07E8A">
        <w:rPr>
          <w:rFonts w:ascii="Times New Roman" w:hAnsi="Times New Roman"/>
          <w:bCs/>
          <w:sz w:val="24"/>
          <w:szCs w:val="24"/>
        </w:rPr>
        <w:t xml:space="preserve">rashodi poslovanja: </w:t>
      </w:r>
      <w:r w:rsidR="00516C6C">
        <w:rPr>
          <w:rFonts w:ascii="Times New Roman" w:hAnsi="Times New Roman"/>
          <w:bCs/>
          <w:sz w:val="24"/>
          <w:szCs w:val="24"/>
        </w:rPr>
        <w:t>9.999.482</w:t>
      </w:r>
      <w:r w:rsidR="00416000">
        <w:rPr>
          <w:rFonts w:ascii="Times New Roman" w:hAnsi="Times New Roman"/>
          <w:bCs/>
          <w:sz w:val="24"/>
          <w:szCs w:val="24"/>
        </w:rPr>
        <w:t>,00 eura</w:t>
      </w:r>
      <w:r w:rsidRPr="00B07E8A">
        <w:rPr>
          <w:rFonts w:ascii="Times New Roman" w:hAnsi="Times New Roman"/>
          <w:bCs/>
          <w:sz w:val="24"/>
          <w:szCs w:val="24"/>
        </w:rPr>
        <w:t>,</w:t>
      </w:r>
    </w:p>
    <w:p w:rsidR="00440955" w:rsidRPr="00B07E8A" w:rsidRDefault="00440955" w:rsidP="00FE6E6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B07E8A">
        <w:rPr>
          <w:rFonts w:ascii="Times New Roman" w:hAnsi="Times New Roman"/>
          <w:bCs/>
          <w:sz w:val="24"/>
          <w:szCs w:val="24"/>
        </w:rPr>
        <w:t xml:space="preserve">rashodi za nabavu nefinancijske imovine: </w:t>
      </w:r>
      <w:r w:rsidR="00516C6C">
        <w:rPr>
          <w:rFonts w:ascii="Times New Roman" w:hAnsi="Times New Roman"/>
          <w:bCs/>
          <w:sz w:val="24"/>
          <w:szCs w:val="24"/>
        </w:rPr>
        <w:t>401.125</w:t>
      </w:r>
      <w:r w:rsidR="00416000">
        <w:rPr>
          <w:rFonts w:ascii="Times New Roman" w:hAnsi="Times New Roman"/>
          <w:bCs/>
          <w:sz w:val="24"/>
          <w:szCs w:val="24"/>
        </w:rPr>
        <w:t>,00 eura</w:t>
      </w:r>
      <w:r w:rsidRPr="00B07E8A">
        <w:rPr>
          <w:rFonts w:ascii="Times New Roman" w:hAnsi="Times New Roman"/>
          <w:bCs/>
          <w:sz w:val="24"/>
          <w:szCs w:val="24"/>
        </w:rPr>
        <w:t>,</w:t>
      </w:r>
    </w:p>
    <w:p w:rsidR="00440955" w:rsidRPr="00B07E8A" w:rsidRDefault="00440955" w:rsidP="00FE6E6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B07E8A">
        <w:rPr>
          <w:rFonts w:ascii="Times New Roman" w:hAnsi="Times New Roman"/>
          <w:bCs/>
          <w:sz w:val="24"/>
          <w:szCs w:val="24"/>
        </w:rPr>
        <w:t xml:space="preserve">višak prihoda prenesen iz prethodnih godina: </w:t>
      </w:r>
      <w:r w:rsidR="00B07E8A" w:rsidRPr="00B07E8A">
        <w:rPr>
          <w:rFonts w:ascii="Times New Roman" w:hAnsi="Times New Roman"/>
          <w:bCs/>
          <w:sz w:val="24"/>
          <w:szCs w:val="24"/>
        </w:rPr>
        <w:t>2.</w:t>
      </w:r>
      <w:r w:rsidR="00516C6C">
        <w:rPr>
          <w:rFonts w:ascii="Times New Roman" w:hAnsi="Times New Roman"/>
          <w:bCs/>
          <w:sz w:val="24"/>
          <w:szCs w:val="24"/>
        </w:rPr>
        <w:t>418.979,70</w:t>
      </w:r>
      <w:r w:rsidR="00416000">
        <w:rPr>
          <w:rFonts w:ascii="Times New Roman" w:hAnsi="Times New Roman"/>
          <w:bCs/>
          <w:sz w:val="24"/>
          <w:szCs w:val="24"/>
        </w:rPr>
        <w:t xml:space="preserve"> eura</w:t>
      </w:r>
      <w:r w:rsidRPr="00B07E8A">
        <w:rPr>
          <w:rFonts w:ascii="Times New Roman" w:hAnsi="Times New Roman"/>
          <w:bCs/>
          <w:sz w:val="24"/>
          <w:szCs w:val="24"/>
        </w:rPr>
        <w:t>.</w:t>
      </w:r>
    </w:p>
    <w:p w:rsidR="00A31F1B" w:rsidRDefault="00A31F1B" w:rsidP="00FA2A5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6973" w:rsidRDefault="00FA2A5D" w:rsidP="003F4018">
      <w:pPr>
        <w:tabs>
          <w:tab w:val="left" w:pos="284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PRIHODI I PRIMICI</w:t>
      </w:r>
    </w:p>
    <w:p w:rsidR="00343FF7" w:rsidRPr="003F4018" w:rsidRDefault="00343FF7" w:rsidP="003F4018">
      <w:pPr>
        <w:tabs>
          <w:tab w:val="left" w:pos="284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43FF7" w:rsidRDefault="004B6973" w:rsidP="0096353E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Ukupni</w:t>
      </w:r>
      <w:r w:rsidR="00622463">
        <w:rPr>
          <w:rFonts w:ascii="Times New Roman" w:hAnsi="Times New Roman"/>
          <w:bCs/>
          <w:sz w:val="24"/>
          <w:szCs w:val="24"/>
        </w:rPr>
        <w:t xml:space="preserve"> prihodi </w:t>
      </w:r>
      <w:r w:rsidR="001735B6">
        <w:rPr>
          <w:rFonts w:ascii="Times New Roman" w:hAnsi="Times New Roman"/>
          <w:bCs/>
          <w:sz w:val="24"/>
          <w:szCs w:val="24"/>
        </w:rPr>
        <w:t>za 202</w:t>
      </w:r>
      <w:r w:rsidR="000862C3">
        <w:rPr>
          <w:rFonts w:ascii="Times New Roman" w:hAnsi="Times New Roman"/>
          <w:bCs/>
          <w:sz w:val="24"/>
          <w:szCs w:val="24"/>
        </w:rPr>
        <w:t>5</w:t>
      </w:r>
      <w:r w:rsidR="000C38BB" w:rsidRPr="00EF3673">
        <w:rPr>
          <w:rFonts w:ascii="Times New Roman" w:hAnsi="Times New Roman"/>
          <w:bCs/>
          <w:sz w:val="24"/>
          <w:szCs w:val="24"/>
        </w:rPr>
        <w:t xml:space="preserve">. </w:t>
      </w:r>
      <w:r w:rsidR="00FB2E8E">
        <w:rPr>
          <w:rFonts w:ascii="Times New Roman" w:hAnsi="Times New Roman"/>
          <w:bCs/>
          <w:sz w:val="24"/>
          <w:szCs w:val="24"/>
        </w:rPr>
        <w:t>g</w:t>
      </w:r>
      <w:r w:rsidR="000C38BB" w:rsidRPr="00EF3673">
        <w:rPr>
          <w:rFonts w:ascii="Times New Roman" w:hAnsi="Times New Roman"/>
          <w:bCs/>
          <w:sz w:val="24"/>
          <w:szCs w:val="24"/>
        </w:rPr>
        <w:t>odinu</w:t>
      </w:r>
      <w:r>
        <w:rPr>
          <w:rFonts w:ascii="Times New Roman" w:hAnsi="Times New Roman"/>
          <w:bCs/>
          <w:sz w:val="24"/>
          <w:szCs w:val="24"/>
        </w:rPr>
        <w:t xml:space="preserve"> planirani su u iznosu</w:t>
      </w:r>
      <w:r w:rsidR="000C38BB" w:rsidRPr="00EF3673">
        <w:rPr>
          <w:rFonts w:ascii="Times New Roman" w:hAnsi="Times New Roman"/>
          <w:bCs/>
          <w:sz w:val="24"/>
          <w:szCs w:val="24"/>
        </w:rPr>
        <w:t xml:space="preserve"> </w:t>
      </w:r>
      <w:r w:rsidR="000862C3" w:rsidRPr="00B07E8A">
        <w:rPr>
          <w:rFonts w:ascii="Times New Roman" w:hAnsi="Times New Roman"/>
          <w:bCs/>
          <w:sz w:val="24"/>
          <w:szCs w:val="24"/>
        </w:rPr>
        <w:t>9.</w:t>
      </w:r>
      <w:r w:rsidR="000862C3">
        <w:rPr>
          <w:rFonts w:ascii="Times New Roman" w:hAnsi="Times New Roman"/>
          <w:bCs/>
          <w:sz w:val="24"/>
          <w:szCs w:val="24"/>
        </w:rPr>
        <w:t xml:space="preserve">889.572,00 </w:t>
      </w:r>
      <w:r w:rsidR="00416000">
        <w:rPr>
          <w:rFonts w:ascii="Times New Roman" w:hAnsi="Times New Roman"/>
          <w:bCs/>
          <w:sz w:val="24"/>
          <w:szCs w:val="24"/>
        </w:rPr>
        <w:t>eura</w:t>
      </w:r>
      <w:r w:rsidR="002F17A3" w:rsidRPr="00EF3673">
        <w:rPr>
          <w:rFonts w:ascii="Times New Roman" w:hAnsi="Times New Roman"/>
          <w:bCs/>
          <w:sz w:val="24"/>
          <w:szCs w:val="24"/>
        </w:rPr>
        <w:t xml:space="preserve">, </w:t>
      </w:r>
      <w:r w:rsidR="00FB2E8E">
        <w:rPr>
          <w:rFonts w:ascii="Times New Roman" w:hAnsi="Times New Roman"/>
          <w:bCs/>
          <w:sz w:val="24"/>
          <w:szCs w:val="24"/>
        </w:rPr>
        <w:t xml:space="preserve">a </w:t>
      </w:r>
      <w:r w:rsidR="00FB2E8E" w:rsidRPr="00FB2E8E">
        <w:rPr>
          <w:rFonts w:ascii="Times New Roman" w:hAnsi="Times New Roman"/>
          <w:bCs/>
          <w:sz w:val="24"/>
          <w:szCs w:val="24"/>
        </w:rPr>
        <w:t xml:space="preserve">ostvareni su u </w:t>
      </w:r>
      <w:r w:rsidR="000862C3">
        <w:rPr>
          <w:rFonts w:ascii="Times New Roman" w:hAnsi="Times New Roman"/>
          <w:bCs/>
          <w:sz w:val="24"/>
          <w:szCs w:val="24"/>
        </w:rPr>
        <w:t>razdoblju siječanj – lipanj 2025</w:t>
      </w:r>
      <w:r w:rsidR="00FB2E8E" w:rsidRPr="00FB2E8E">
        <w:rPr>
          <w:rFonts w:ascii="Times New Roman" w:hAnsi="Times New Roman"/>
          <w:bCs/>
          <w:sz w:val="24"/>
          <w:szCs w:val="24"/>
        </w:rPr>
        <w:t xml:space="preserve">. godine u </w:t>
      </w:r>
      <w:r w:rsidR="00FB2E8E" w:rsidRPr="00B07E8A">
        <w:rPr>
          <w:rFonts w:ascii="Times New Roman" w:hAnsi="Times New Roman"/>
          <w:bCs/>
          <w:sz w:val="24"/>
          <w:szCs w:val="24"/>
        </w:rPr>
        <w:t xml:space="preserve">iznosu </w:t>
      </w:r>
      <w:r w:rsidR="000862C3">
        <w:rPr>
          <w:rFonts w:ascii="Times New Roman" w:hAnsi="Times New Roman"/>
          <w:bCs/>
          <w:sz w:val="24"/>
          <w:szCs w:val="24"/>
        </w:rPr>
        <w:t>5.248.259,49</w:t>
      </w:r>
      <w:r w:rsidR="00416000">
        <w:rPr>
          <w:rFonts w:ascii="Times New Roman" w:hAnsi="Times New Roman"/>
          <w:bCs/>
          <w:sz w:val="24"/>
          <w:szCs w:val="24"/>
        </w:rPr>
        <w:t xml:space="preserve"> eura</w:t>
      </w:r>
      <w:r w:rsidR="000862C3">
        <w:rPr>
          <w:rFonts w:ascii="Times New Roman" w:hAnsi="Times New Roman"/>
          <w:bCs/>
          <w:sz w:val="24"/>
          <w:szCs w:val="24"/>
        </w:rPr>
        <w:t xml:space="preserve">, što je 53,07% </w:t>
      </w:r>
      <w:r w:rsidR="00E86EFF">
        <w:rPr>
          <w:rFonts w:ascii="Times New Roman" w:hAnsi="Times New Roman"/>
          <w:bCs/>
          <w:sz w:val="24"/>
          <w:szCs w:val="24"/>
        </w:rPr>
        <w:t xml:space="preserve">u odnosu na godišnji </w:t>
      </w:r>
      <w:r w:rsidR="000862C3">
        <w:rPr>
          <w:rFonts w:ascii="Times New Roman" w:hAnsi="Times New Roman"/>
          <w:bCs/>
          <w:sz w:val="24"/>
          <w:szCs w:val="24"/>
        </w:rPr>
        <w:t>plan</w:t>
      </w:r>
      <w:r w:rsidR="00FB2E8E" w:rsidRPr="00B07E8A">
        <w:rPr>
          <w:rFonts w:ascii="Times New Roman" w:hAnsi="Times New Roman"/>
          <w:bCs/>
          <w:sz w:val="24"/>
          <w:szCs w:val="24"/>
        </w:rPr>
        <w:t>.</w:t>
      </w:r>
      <w:r w:rsidR="00FB2E8E" w:rsidRPr="00B07E8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862C3" w:rsidRDefault="00FB2E8E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B2E8E">
        <w:rPr>
          <w:rFonts w:ascii="Times New Roman" w:hAnsi="Times New Roman"/>
          <w:bCs/>
          <w:sz w:val="24"/>
          <w:szCs w:val="24"/>
        </w:rPr>
        <w:t>P</w:t>
      </w:r>
      <w:r w:rsidR="00622463">
        <w:rPr>
          <w:rFonts w:ascii="Times New Roman" w:hAnsi="Times New Roman"/>
          <w:bCs/>
          <w:sz w:val="24"/>
          <w:szCs w:val="24"/>
        </w:rPr>
        <w:t xml:space="preserve">regled planiranih i ostvarenih </w:t>
      </w:r>
      <w:r w:rsidRPr="00FB2E8E">
        <w:rPr>
          <w:rFonts w:ascii="Times New Roman" w:hAnsi="Times New Roman"/>
          <w:bCs/>
          <w:sz w:val="24"/>
          <w:szCs w:val="24"/>
        </w:rPr>
        <w:t xml:space="preserve">prihoda prema </w:t>
      </w:r>
      <w:r w:rsidR="000862C3">
        <w:rPr>
          <w:rFonts w:ascii="Times New Roman" w:hAnsi="Times New Roman"/>
          <w:bCs/>
          <w:sz w:val="24"/>
          <w:szCs w:val="24"/>
        </w:rPr>
        <w:t>izvoru financiranja daje se u tabličnom prikazu:</w:t>
      </w:r>
    </w:p>
    <w:tbl>
      <w:tblPr>
        <w:tblStyle w:val="TableGrid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4425"/>
        <w:gridCol w:w="723"/>
        <w:gridCol w:w="1733"/>
        <w:gridCol w:w="1733"/>
        <w:gridCol w:w="1014"/>
      </w:tblGrid>
      <w:tr w:rsidR="000862C3" w:rsidTr="000862C3">
        <w:tc>
          <w:tcPr>
            <w:tcW w:w="4425" w:type="dxa"/>
          </w:tcPr>
          <w:p w:rsidR="000862C3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Vrsta prihoda</w:t>
            </w:r>
          </w:p>
        </w:tc>
        <w:tc>
          <w:tcPr>
            <w:tcW w:w="723" w:type="dxa"/>
          </w:tcPr>
          <w:p w:rsidR="000862C3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Izvor fin.</w:t>
            </w:r>
          </w:p>
        </w:tc>
        <w:tc>
          <w:tcPr>
            <w:tcW w:w="1733" w:type="dxa"/>
          </w:tcPr>
          <w:p w:rsidR="000862C3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Plan</w:t>
            </w:r>
          </w:p>
        </w:tc>
        <w:tc>
          <w:tcPr>
            <w:tcW w:w="1733" w:type="dxa"/>
          </w:tcPr>
          <w:p w:rsidR="000862C3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Izvršenje</w:t>
            </w:r>
          </w:p>
        </w:tc>
        <w:tc>
          <w:tcPr>
            <w:tcW w:w="1014" w:type="dxa"/>
          </w:tcPr>
          <w:p w:rsidR="000862C3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Indeks</w:t>
            </w:r>
          </w:p>
        </w:tc>
      </w:tr>
      <w:tr w:rsidR="000862C3" w:rsidTr="000862C3">
        <w:tc>
          <w:tcPr>
            <w:tcW w:w="4425" w:type="dxa"/>
          </w:tcPr>
          <w:p w:rsidR="000862C3" w:rsidRPr="00F778A1" w:rsidRDefault="000862C3" w:rsidP="000862C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778A1">
              <w:rPr>
                <w:rFonts w:ascii="Times New Roman" w:hAnsi="Times New Roman"/>
                <w:bCs/>
                <w:i/>
                <w:sz w:val="24"/>
                <w:szCs w:val="24"/>
              </w:rPr>
              <w:t>Prihodi poslovanja</w:t>
            </w:r>
          </w:p>
        </w:tc>
        <w:tc>
          <w:tcPr>
            <w:tcW w:w="723" w:type="dxa"/>
          </w:tcPr>
          <w:p w:rsidR="000862C3" w:rsidRPr="00F778A1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33" w:type="dxa"/>
          </w:tcPr>
          <w:p w:rsidR="000862C3" w:rsidRPr="00F778A1" w:rsidRDefault="00343FF7" w:rsidP="00073CF6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9.888.872,00</w:t>
            </w:r>
          </w:p>
        </w:tc>
        <w:tc>
          <w:tcPr>
            <w:tcW w:w="1733" w:type="dxa"/>
          </w:tcPr>
          <w:p w:rsidR="000862C3" w:rsidRPr="00F778A1" w:rsidRDefault="00772DC7" w:rsidP="00073CF6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5.248.061,95</w:t>
            </w:r>
          </w:p>
        </w:tc>
        <w:tc>
          <w:tcPr>
            <w:tcW w:w="1014" w:type="dxa"/>
          </w:tcPr>
          <w:p w:rsidR="000862C3" w:rsidRPr="00F778A1" w:rsidRDefault="00772DC7" w:rsidP="00073CF6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53,07</w:t>
            </w:r>
          </w:p>
        </w:tc>
      </w:tr>
      <w:tr w:rsidR="000862C3" w:rsidTr="000862C3">
        <w:tc>
          <w:tcPr>
            <w:tcW w:w="4425" w:type="dxa"/>
          </w:tcPr>
          <w:p w:rsidR="000862C3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Opći prihodi i primici</w:t>
            </w:r>
          </w:p>
        </w:tc>
        <w:tc>
          <w:tcPr>
            <w:tcW w:w="723" w:type="dxa"/>
          </w:tcPr>
          <w:p w:rsidR="000862C3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33" w:type="dxa"/>
          </w:tcPr>
          <w:p w:rsidR="000862C3" w:rsidRDefault="00343FF7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7.792.848,00</w:t>
            </w:r>
          </w:p>
        </w:tc>
        <w:tc>
          <w:tcPr>
            <w:tcW w:w="1733" w:type="dxa"/>
          </w:tcPr>
          <w:p w:rsidR="000862C3" w:rsidRDefault="00772DC7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4.315.036,66</w:t>
            </w:r>
          </w:p>
        </w:tc>
        <w:tc>
          <w:tcPr>
            <w:tcW w:w="1014" w:type="dxa"/>
          </w:tcPr>
          <w:p w:rsidR="000862C3" w:rsidRDefault="00772DC7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55,37</w:t>
            </w:r>
          </w:p>
        </w:tc>
      </w:tr>
      <w:tr w:rsidR="000862C3" w:rsidTr="000862C3">
        <w:trPr>
          <w:trHeight w:val="209"/>
        </w:trPr>
        <w:tc>
          <w:tcPr>
            <w:tcW w:w="4425" w:type="dxa"/>
          </w:tcPr>
          <w:p w:rsidR="000862C3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Vlastiti prihodi</w:t>
            </w:r>
          </w:p>
        </w:tc>
        <w:tc>
          <w:tcPr>
            <w:tcW w:w="723" w:type="dxa"/>
          </w:tcPr>
          <w:p w:rsidR="000862C3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733" w:type="dxa"/>
          </w:tcPr>
          <w:p w:rsidR="000862C3" w:rsidRDefault="00343FF7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325.950,00</w:t>
            </w:r>
          </w:p>
        </w:tc>
        <w:tc>
          <w:tcPr>
            <w:tcW w:w="1733" w:type="dxa"/>
          </w:tcPr>
          <w:p w:rsidR="000862C3" w:rsidRDefault="00772DC7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214.696,87</w:t>
            </w:r>
          </w:p>
        </w:tc>
        <w:tc>
          <w:tcPr>
            <w:tcW w:w="1014" w:type="dxa"/>
          </w:tcPr>
          <w:p w:rsidR="000862C3" w:rsidRDefault="00772DC7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65,87</w:t>
            </w:r>
          </w:p>
        </w:tc>
      </w:tr>
      <w:tr w:rsidR="000862C3" w:rsidTr="000862C3">
        <w:tc>
          <w:tcPr>
            <w:tcW w:w="4425" w:type="dxa"/>
          </w:tcPr>
          <w:p w:rsidR="000862C3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Prihodi za posebne namjene</w:t>
            </w:r>
          </w:p>
        </w:tc>
        <w:tc>
          <w:tcPr>
            <w:tcW w:w="723" w:type="dxa"/>
          </w:tcPr>
          <w:p w:rsidR="000862C3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733" w:type="dxa"/>
          </w:tcPr>
          <w:p w:rsidR="000862C3" w:rsidRDefault="00343FF7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1.600.000,00</w:t>
            </w:r>
          </w:p>
        </w:tc>
        <w:tc>
          <w:tcPr>
            <w:tcW w:w="1733" w:type="dxa"/>
          </w:tcPr>
          <w:p w:rsidR="000862C3" w:rsidRDefault="00772DC7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618.799,54</w:t>
            </w:r>
          </w:p>
        </w:tc>
        <w:tc>
          <w:tcPr>
            <w:tcW w:w="1014" w:type="dxa"/>
          </w:tcPr>
          <w:p w:rsidR="000862C3" w:rsidRDefault="00772DC7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38,67</w:t>
            </w:r>
          </w:p>
        </w:tc>
      </w:tr>
      <w:tr w:rsidR="000862C3" w:rsidTr="000862C3">
        <w:tc>
          <w:tcPr>
            <w:tcW w:w="4425" w:type="dxa"/>
          </w:tcPr>
          <w:p w:rsidR="000862C3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Ostale pomoći</w:t>
            </w:r>
          </w:p>
        </w:tc>
        <w:tc>
          <w:tcPr>
            <w:tcW w:w="723" w:type="dxa"/>
          </w:tcPr>
          <w:p w:rsidR="000862C3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733" w:type="dxa"/>
          </w:tcPr>
          <w:p w:rsidR="000862C3" w:rsidRDefault="00343FF7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100.074,00</w:t>
            </w:r>
          </w:p>
        </w:tc>
        <w:tc>
          <w:tcPr>
            <w:tcW w:w="1733" w:type="dxa"/>
          </w:tcPr>
          <w:p w:rsidR="000862C3" w:rsidRDefault="00772DC7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41.641,51</w:t>
            </w:r>
          </w:p>
        </w:tc>
        <w:tc>
          <w:tcPr>
            <w:tcW w:w="1014" w:type="dxa"/>
          </w:tcPr>
          <w:p w:rsidR="000862C3" w:rsidRDefault="00772DC7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41,61</w:t>
            </w:r>
          </w:p>
        </w:tc>
      </w:tr>
      <w:tr w:rsidR="000862C3" w:rsidTr="000862C3">
        <w:tc>
          <w:tcPr>
            <w:tcW w:w="4425" w:type="dxa"/>
          </w:tcPr>
          <w:p w:rsidR="000862C3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Donacije</w:t>
            </w:r>
          </w:p>
        </w:tc>
        <w:tc>
          <w:tcPr>
            <w:tcW w:w="723" w:type="dxa"/>
          </w:tcPr>
          <w:p w:rsidR="000862C3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733" w:type="dxa"/>
          </w:tcPr>
          <w:p w:rsidR="000862C3" w:rsidRDefault="00343FF7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70.000,00</w:t>
            </w:r>
          </w:p>
        </w:tc>
        <w:tc>
          <w:tcPr>
            <w:tcW w:w="1733" w:type="dxa"/>
          </w:tcPr>
          <w:p w:rsidR="000862C3" w:rsidRDefault="00772DC7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57.887,37</w:t>
            </w:r>
          </w:p>
        </w:tc>
        <w:tc>
          <w:tcPr>
            <w:tcW w:w="1014" w:type="dxa"/>
          </w:tcPr>
          <w:p w:rsidR="000862C3" w:rsidRDefault="00772DC7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82,70</w:t>
            </w:r>
          </w:p>
        </w:tc>
      </w:tr>
      <w:tr w:rsidR="000862C3" w:rsidTr="000862C3">
        <w:tc>
          <w:tcPr>
            <w:tcW w:w="4425" w:type="dxa"/>
          </w:tcPr>
          <w:p w:rsidR="000862C3" w:rsidRPr="00F778A1" w:rsidRDefault="000862C3" w:rsidP="000862C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778A1">
              <w:rPr>
                <w:rFonts w:ascii="Times New Roman" w:hAnsi="Times New Roman"/>
                <w:bCs/>
                <w:i/>
                <w:sz w:val="24"/>
                <w:szCs w:val="24"/>
              </w:rPr>
              <w:t>Prihodi od nefinancijske imovine</w:t>
            </w:r>
          </w:p>
        </w:tc>
        <w:tc>
          <w:tcPr>
            <w:tcW w:w="723" w:type="dxa"/>
          </w:tcPr>
          <w:p w:rsidR="000862C3" w:rsidRPr="00F778A1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33" w:type="dxa"/>
          </w:tcPr>
          <w:p w:rsidR="000862C3" w:rsidRPr="00F778A1" w:rsidRDefault="00343FF7" w:rsidP="00073CF6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   700,00</w:t>
            </w:r>
          </w:p>
        </w:tc>
        <w:tc>
          <w:tcPr>
            <w:tcW w:w="1733" w:type="dxa"/>
          </w:tcPr>
          <w:p w:rsidR="000862C3" w:rsidRPr="00F778A1" w:rsidRDefault="00772DC7" w:rsidP="00073CF6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  197,54</w:t>
            </w:r>
          </w:p>
        </w:tc>
        <w:tc>
          <w:tcPr>
            <w:tcW w:w="1014" w:type="dxa"/>
          </w:tcPr>
          <w:p w:rsidR="000862C3" w:rsidRPr="00F778A1" w:rsidRDefault="00772DC7" w:rsidP="00073CF6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28,22</w:t>
            </w:r>
          </w:p>
        </w:tc>
      </w:tr>
      <w:tr w:rsidR="000862C3" w:rsidTr="000862C3">
        <w:tc>
          <w:tcPr>
            <w:tcW w:w="4425" w:type="dxa"/>
          </w:tcPr>
          <w:p w:rsidR="000862C3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Prihodi od prodaje građevinskih objekata</w:t>
            </w:r>
          </w:p>
        </w:tc>
        <w:tc>
          <w:tcPr>
            <w:tcW w:w="723" w:type="dxa"/>
          </w:tcPr>
          <w:p w:rsidR="000862C3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733" w:type="dxa"/>
          </w:tcPr>
          <w:p w:rsidR="000862C3" w:rsidRDefault="00343FF7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700,00</w:t>
            </w:r>
          </w:p>
        </w:tc>
        <w:tc>
          <w:tcPr>
            <w:tcW w:w="1733" w:type="dxa"/>
          </w:tcPr>
          <w:p w:rsidR="000862C3" w:rsidRDefault="00772DC7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197,54</w:t>
            </w:r>
          </w:p>
        </w:tc>
        <w:tc>
          <w:tcPr>
            <w:tcW w:w="1014" w:type="dxa"/>
          </w:tcPr>
          <w:p w:rsidR="000862C3" w:rsidRDefault="00772DC7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28,22</w:t>
            </w:r>
          </w:p>
        </w:tc>
      </w:tr>
      <w:tr w:rsidR="000862C3" w:rsidTr="000862C3">
        <w:tc>
          <w:tcPr>
            <w:tcW w:w="4425" w:type="dxa"/>
          </w:tcPr>
          <w:p w:rsidR="000862C3" w:rsidRPr="00F778A1" w:rsidRDefault="000862C3" w:rsidP="00073CF6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78A1">
              <w:rPr>
                <w:rFonts w:ascii="Times New Roman" w:hAnsi="Times New Roman"/>
                <w:b/>
                <w:bCs/>
                <w:sz w:val="24"/>
                <w:szCs w:val="24"/>
              </w:rPr>
              <w:t>Ukupni prihodi</w:t>
            </w:r>
          </w:p>
        </w:tc>
        <w:tc>
          <w:tcPr>
            <w:tcW w:w="723" w:type="dxa"/>
          </w:tcPr>
          <w:p w:rsidR="000862C3" w:rsidRPr="00F778A1" w:rsidRDefault="000862C3" w:rsidP="00073CF6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0862C3" w:rsidRPr="00FB0E7E" w:rsidRDefault="00411262" w:rsidP="00073CF6">
            <w:pPr>
              <w:pStyle w:val="ListParagraph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9.889.872,00</w:t>
            </w:r>
          </w:p>
        </w:tc>
        <w:tc>
          <w:tcPr>
            <w:tcW w:w="1733" w:type="dxa"/>
          </w:tcPr>
          <w:p w:rsidR="000862C3" w:rsidRPr="00FB0E7E" w:rsidRDefault="00411262" w:rsidP="00073CF6">
            <w:pPr>
              <w:pStyle w:val="ListParagraph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5.248.259,49</w:t>
            </w:r>
          </w:p>
        </w:tc>
        <w:tc>
          <w:tcPr>
            <w:tcW w:w="1014" w:type="dxa"/>
          </w:tcPr>
          <w:p w:rsidR="000862C3" w:rsidRPr="00FB0E7E" w:rsidRDefault="00411262" w:rsidP="00073CF6">
            <w:pPr>
              <w:pStyle w:val="ListParagraph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53,07</w:t>
            </w:r>
          </w:p>
        </w:tc>
      </w:tr>
    </w:tbl>
    <w:p w:rsidR="005468E4" w:rsidRDefault="005468E4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417B0" w:rsidRPr="004055CC" w:rsidRDefault="00D417B0" w:rsidP="00D417B0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055CC">
        <w:rPr>
          <w:rFonts w:ascii="Times New Roman" w:hAnsi="Times New Roman"/>
          <w:bCs/>
          <w:sz w:val="24"/>
          <w:szCs w:val="24"/>
        </w:rPr>
        <w:lastRenderedPageBreak/>
        <w:t>Prihodi poslovanja sadrže prihode iz nadležnog proračuna, prihode od vlastitih usluga i prodane robe, prihode po posebnim propisima, pomoći od inozemnih vlada i subjekata unutar istog proračuna, pomoći od institucija i tijela EU i donacije.</w:t>
      </w:r>
    </w:p>
    <w:p w:rsidR="00802FB1" w:rsidRPr="002A25EE" w:rsidRDefault="00704821" w:rsidP="00802FB1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11 </w:t>
      </w:r>
      <w:r w:rsidR="00802FB1">
        <w:rPr>
          <w:rFonts w:ascii="Times New Roman" w:hAnsi="Times New Roman"/>
          <w:bCs/>
          <w:sz w:val="24"/>
          <w:szCs w:val="24"/>
        </w:rPr>
        <w:t>Opći prihodi i primici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02FB1" w:rsidRPr="002A25EE">
        <w:rPr>
          <w:rFonts w:ascii="Times New Roman" w:hAnsi="Times New Roman"/>
          <w:bCs/>
          <w:sz w:val="24"/>
          <w:szCs w:val="24"/>
        </w:rPr>
        <w:t xml:space="preserve">Prihodi iz nadležnog proračuna za financiranje rashoda poslovanja </w:t>
      </w:r>
      <w:r w:rsidR="00802FB1">
        <w:rPr>
          <w:rFonts w:ascii="Times New Roman" w:hAnsi="Times New Roman"/>
          <w:bCs/>
          <w:sz w:val="24"/>
          <w:szCs w:val="24"/>
        </w:rPr>
        <w:t>izvršeni su 55,37</w:t>
      </w:r>
      <w:r w:rsidR="00802FB1" w:rsidRPr="002A25EE">
        <w:rPr>
          <w:rFonts w:ascii="Times New Roman" w:hAnsi="Times New Roman"/>
          <w:bCs/>
          <w:sz w:val="24"/>
          <w:szCs w:val="24"/>
        </w:rPr>
        <w:t xml:space="preserve">% od ukupnog godišnjeg plana. </w:t>
      </w:r>
      <w:r w:rsidR="00C22790">
        <w:rPr>
          <w:rFonts w:ascii="Times New Roman" w:hAnsi="Times New Roman"/>
          <w:bCs/>
          <w:sz w:val="24"/>
          <w:szCs w:val="24"/>
        </w:rPr>
        <w:t>Sastoji se od prihoda: plaće i materijalna</w:t>
      </w:r>
      <w:r w:rsidR="00802FB1" w:rsidRPr="002A25EE">
        <w:rPr>
          <w:rFonts w:ascii="Times New Roman" w:hAnsi="Times New Roman"/>
          <w:bCs/>
          <w:sz w:val="24"/>
          <w:szCs w:val="24"/>
        </w:rPr>
        <w:t xml:space="preserve"> prava zaposlenika, sredstva za studentske programe iz državnog proračuna za aktivnosti redovne djelatnosti, te sredstva za financiranje nastavne i znanstvene djelatnosti temeljem aktivnosti Programskog financiranja javnih visokih učilišta. </w:t>
      </w:r>
      <w:r w:rsidR="00802FB1">
        <w:rPr>
          <w:rFonts w:ascii="Times New Roman" w:hAnsi="Times New Roman"/>
          <w:bCs/>
          <w:sz w:val="24"/>
          <w:szCs w:val="24"/>
        </w:rPr>
        <w:t>Izvršenje plana iznad 50% odnosi</w:t>
      </w:r>
      <w:r w:rsidR="00802FB1" w:rsidRPr="002A25EE">
        <w:rPr>
          <w:rFonts w:ascii="Times New Roman" w:hAnsi="Times New Roman"/>
          <w:bCs/>
          <w:sz w:val="24"/>
          <w:szCs w:val="24"/>
        </w:rPr>
        <w:t xml:space="preserve"> se na povećanje za plaće temeljem Uredbe o nazivima radnih mjesta, uvjetima za raspored i koeficijentima za </w:t>
      </w:r>
      <w:r w:rsidR="00802FB1">
        <w:rPr>
          <w:rFonts w:ascii="Times New Roman" w:hAnsi="Times New Roman"/>
          <w:bCs/>
          <w:sz w:val="24"/>
          <w:szCs w:val="24"/>
        </w:rPr>
        <w:t>ob</w:t>
      </w:r>
      <w:r>
        <w:rPr>
          <w:rFonts w:ascii="Times New Roman" w:hAnsi="Times New Roman"/>
          <w:bCs/>
          <w:sz w:val="24"/>
          <w:szCs w:val="24"/>
        </w:rPr>
        <w:t>račun plaće u javnim službama.</w:t>
      </w:r>
      <w:r w:rsidRPr="00AE4B2C">
        <w:rPr>
          <w:rFonts w:ascii="Times New Roman" w:hAnsi="Times New Roman"/>
          <w:bCs/>
          <w:sz w:val="24"/>
          <w:szCs w:val="24"/>
        </w:rPr>
        <w:t xml:space="preserve"> Uredbom su propisani nazivi radnih</w:t>
      </w:r>
      <w:r w:rsidRPr="00704821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704821">
        <w:rPr>
          <w:rFonts w:ascii="Times New Roman" w:hAnsi="Times New Roman"/>
          <w:bCs/>
          <w:sz w:val="24"/>
          <w:szCs w:val="24"/>
          <w:lang w:val="en-AU"/>
        </w:rPr>
        <w:t>mjesta</w:t>
      </w:r>
      <w:proofErr w:type="spellEnd"/>
      <w:r w:rsidRPr="00704821">
        <w:rPr>
          <w:rFonts w:ascii="Times New Roman" w:hAnsi="Times New Roman"/>
          <w:bCs/>
          <w:sz w:val="24"/>
          <w:szCs w:val="24"/>
          <w:lang w:val="en-AU"/>
        </w:rPr>
        <w:t xml:space="preserve"> u </w:t>
      </w:r>
      <w:proofErr w:type="spellStart"/>
      <w:r w:rsidRPr="00704821">
        <w:rPr>
          <w:rFonts w:ascii="Times New Roman" w:hAnsi="Times New Roman"/>
          <w:bCs/>
          <w:sz w:val="24"/>
          <w:szCs w:val="24"/>
          <w:lang w:val="en-AU"/>
        </w:rPr>
        <w:t>javnim</w:t>
      </w:r>
      <w:proofErr w:type="spellEnd"/>
      <w:r w:rsidRPr="00704821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704821">
        <w:rPr>
          <w:rFonts w:ascii="Times New Roman" w:hAnsi="Times New Roman"/>
          <w:bCs/>
          <w:sz w:val="24"/>
          <w:szCs w:val="24"/>
          <w:lang w:val="en-AU"/>
        </w:rPr>
        <w:t>službama</w:t>
      </w:r>
      <w:proofErr w:type="spellEnd"/>
      <w:r w:rsidRPr="00704821">
        <w:rPr>
          <w:rFonts w:ascii="Times New Roman" w:hAnsi="Times New Roman"/>
          <w:bCs/>
          <w:sz w:val="24"/>
          <w:szCs w:val="24"/>
          <w:lang w:val="en-AU"/>
        </w:rPr>
        <w:t xml:space="preserve">, </w:t>
      </w:r>
      <w:proofErr w:type="spellStart"/>
      <w:r w:rsidRPr="00704821">
        <w:rPr>
          <w:rFonts w:ascii="Times New Roman" w:hAnsi="Times New Roman"/>
          <w:bCs/>
          <w:sz w:val="24"/>
          <w:szCs w:val="24"/>
          <w:lang w:val="en-AU"/>
        </w:rPr>
        <w:t>klasifikacija</w:t>
      </w:r>
      <w:proofErr w:type="spellEnd"/>
      <w:r w:rsidRPr="00704821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704821">
        <w:rPr>
          <w:rFonts w:ascii="Times New Roman" w:hAnsi="Times New Roman"/>
          <w:bCs/>
          <w:sz w:val="24"/>
          <w:szCs w:val="24"/>
          <w:lang w:val="en-AU"/>
        </w:rPr>
        <w:t>radnih</w:t>
      </w:r>
      <w:proofErr w:type="spellEnd"/>
      <w:r w:rsidRPr="00704821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704821">
        <w:rPr>
          <w:rFonts w:ascii="Times New Roman" w:hAnsi="Times New Roman"/>
          <w:bCs/>
          <w:sz w:val="24"/>
          <w:szCs w:val="24"/>
          <w:lang w:val="en-AU"/>
        </w:rPr>
        <w:t>mjesta</w:t>
      </w:r>
      <w:proofErr w:type="spellEnd"/>
      <w:r w:rsidRPr="00704821">
        <w:rPr>
          <w:rFonts w:ascii="Times New Roman" w:hAnsi="Times New Roman"/>
          <w:bCs/>
          <w:sz w:val="24"/>
          <w:szCs w:val="24"/>
          <w:lang w:val="en-AU"/>
        </w:rPr>
        <w:t xml:space="preserve"> u </w:t>
      </w:r>
      <w:proofErr w:type="spellStart"/>
      <w:r w:rsidRPr="00704821">
        <w:rPr>
          <w:rFonts w:ascii="Times New Roman" w:hAnsi="Times New Roman"/>
          <w:bCs/>
          <w:sz w:val="24"/>
          <w:szCs w:val="24"/>
          <w:lang w:val="en-AU"/>
        </w:rPr>
        <w:t>pripadajući</w:t>
      </w:r>
      <w:proofErr w:type="spellEnd"/>
      <w:r w:rsidRPr="00704821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704821">
        <w:rPr>
          <w:rFonts w:ascii="Times New Roman" w:hAnsi="Times New Roman"/>
          <w:bCs/>
          <w:sz w:val="24"/>
          <w:szCs w:val="24"/>
          <w:lang w:val="en-AU"/>
        </w:rPr>
        <w:t>platni</w:t>
      </w:r>
      <w:proofErr w:type="spellEnd"/>
      <w:r w:rsidRPr="00704821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704821">
        <w:rPr>
          <w:rFonts w:ascii="Times New Roman" w:hAnsi="Times New Roman"/>
          <w:bCs/>
          <w:sz w:val="24"/>
          <w:szCs w:val="24"/>
          <w:lang w:val="en-AU"/>
        </w:rPr>
        <w:t>razred</w:t>
      </w:r>
      <w:proofErr w:type="spellEnd"/>
      <w:r w:rsidRPr="00704821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704821">
        <w:rPr>
          <w:rFonts w:ascii="Times New Roman" w:hAnsi="Times New Roman"/>
          <w:bCs/>
          <w:sz w:val="24"/>
          <w:szCs w:val="24"/>
          <w:lang w:val="en-AU"/>
        </w:rPr>
        <w:t>i</w:t>
      </w:r>
      <w:proofErr w:type="spellEnd"/>
      <w:r w:rsidRPr="00704821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704821">
        <w:rPr>
          <w:rFonts w:ascii="Times New Roman" w:hAnsi="Times New Roman"/>
          <w:bCs/>
          <w:sz w:val="24"/>
          <w:szCs w:val="24"/>
          <w:lang w:val="en-AU"/>
        </w:rPr>
        <w:t>koeficijent</w:t>
      </w:r>
      <w:proofErr w:type="spellEnd"/>
      <w:r w:rsidRPr="00704821">
        <w:rPr>
          <w:rFonts w:ascii="Times New Roman" w:hAnsi="Times New Roman"/>
          <w:bCs/>
          <w:sz w:val="24"/>
          <w:szCs w:val="24"/>
          <w:lang w:val="en-AU"/>
        </w:rPr>
        <w:t xml:space="preserve"> za </w:t>
      </w:r>
      <w:proofErr w:type="spellStart"/>
      <w:r w:rsidRPr="00704821">
        <w:rPr>
          <w:rFonts w:ascii="Times New Roman" w:hAnsi="Times New Roman"/>
          <w:bCs/>
          <w:sz w:val="24"/>
          <w:szCs w:val="24"/>
          <w:lang w:val="en-AU"/>
        </w:rPr>
        <w:t>obračun</w:t>
      </w:r>
      <w:proofErr w:type="spellEnd"/>
      <w:r w:rsidRPr="00704821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704821">
        <w:rPr>
          <w:rFonts w:ascii="Times New Roman" w:hAnsi="Times New Roman"/>
          <w:bCs/>
          <w:sz w:val="24"/>
          <w:szCs w:val="24"/>
          <w:lang w:val="en-AU"/>
        </w:rPr>
        <w:t>plaće</w:t>
      </w:r>
      <w:proofErr w:type="spellEnd"/>
      <w:r w:rsidRPr="00704821">
        <w:rPr>
          <w:rFonts w:ascii="Times New Roman" w:hAnsi="Times New Roman"/>
          <w:bCs/>
          <w:sz w:val="24"/>
          <w:szCs w:val="24"/>
          <w:lang w:val="en-AU"/>
        </w:rPr>
        <w:t xml:space="preserve">. </w:t>
      </w:r>
      <w:r w:rsidR="00802FB1">
        <w:rPr>
          <w:rFonts w:ascii="Times New Roman" w:hAnsi="Times New Roman"/>
          <w:bCs/>
          <w:sz w:val="24"/>
          <w:szCs w:val="24"/>
        </w:rPr>
        <w:t xml:space="preserve"> </w:t>
      </w:r>
    </w:p>
    <w:p w:rsidR="00352D66" w:rsidRPr="00352D66" w:rsidRDefault="00704821" w:rsidP="00352D66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Na izvoru 31 Vlastiti prihodi izvršenje u odnosu na plan 65,87%</w:t>
      </w:r>
      <w:r w:rsidR="00352D66">
        <w:rPr>
          <w:rFonts w:ascii="Times New Roman" w:hAnsi="Times New Roman"/>
          <w:bCs/>
          <w:sz w:val="24"/>
          <w:szCs w:val="24"/>
        </w:rPr>
        <w:t xml:space="preserve">, a </w:t>
      </w:r>
      <w:r w:rsidR="00352D66" w:rsidRPr="00352D66">
        <w:rPr>
          <w:rFonts w:ascii="Times New Roman" w:hAnsi="Times New Roman"/>
          <w:bCs/>
          <w:sz w:val="24"/>
          <w:szCs w:val="24"/>
        </w:rPr>
        <w:t>u odnosu na prošlu godinu manje</w:t>
      </w:r>
      <w:r w:rsidR="00352D66">
        <w:rPr>
          <w:rFonts w:ascii="Times New Roman" w:hAnsi="Times New Roman"/>
          <w:bCs/>
          <w:sz w:val="24"/>
          <w:szCs w:val="24"/>
        </w:rPr>
        <w:t xml:space="preserve"> su</w:t>
      </w:r>
      <w:r w:rsidR="00352D66" w:rsidRPr="00352D66">
        <w:rPr>
          <w:rFonts w:ascii="Times New Roman" w:hAnsi="Times New Roman"/>
          <w:bCs/>
          <w:sz w:val="24"/>
          <w:szCs w:val="24"/>
        </w:rPr>
        <w:t xml:space="preserve"> izvršeni jer se stupanjem na snagu </w:t>
      </w:r>
      <w:r w:rsidR="00352D66" w:rsidRPr="00352D66">
        <w:rPr>
          <w:rFonts w:ascii="Times New Roman" w:hAnsi="Times New Roman"/>
          <w:bCs/>
          <w:iCs/>
          <w:sz w:val="24"/>
          <w:szCs w:val="24"/>
        </w:rPr>
        <w:t>Pravilnika o mjerilima i načinu korištenja nenamjenskih donacija i vlastitih prihoda proračunskih korisnika iz nadležnosti Ministarstva znanosti, obrazovanja i mladih (NN 79/24) </w:t>
      </w:r>
      <w:r w:rsidR="00352D66" w:rsidRPr="00352D66">
        <w:rPr>
          <w:rFonts w:ascii="Times New Roman" w:hAnsi="Times New Roman"/>
          <w:bCs/>
          <w:sz w:val="24"/>
          <w:szCs w:val="24"/>
        </w:rPr>
        <w:t>i </w:t>
      </w:r>
      <w:r w:rsidR="00352D66" w:rsidRPr="00352D66">
        <w:rPr>
          <w:rFonts w:ascii="Times New Roman" w:hAnsi="Times New Roman"/>
          <w:bCs/>
          <w:iCs/>
          <w:sz w:val="24"/>
          <w:szCs w:val="24"/>
        </w:rPr>
        <w:t>Pravilnika o mjerilima i načinu korištenja namjenskih prihoda proračunskih korisnika iz nadležnosti Ministarstva znanosti, obrazovanja i mladih (NN 79/24)</w:t>
      </w:r>
      <w:r w:rsidR="00352D66" w:rsidRPr="00352D66">
        <w:rPr>
          <w:rFonts w:ascii="Times New Roman" w:hAnsi="Times New Roman"/>
          <w:bCs/>
          <w:sz w:val="24"/>
          <w:szCs w:val="24"/>
        </w:rPr>
        <w:t xml:space="preserve">, školarine studenata i druge naknade polaznika svih obrazovnih programa klasificiraju u izvor 43 – ostali prihodi za posebne namjene. </w:t>
      </w:r>
    </w:p>
    <w:p w:rsidR="00411262" w:rsidRDefault="00352D66" w:rsidP="00802FB1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43 </w:t>
      </w:r>
      <w:r w:rsidR="00411262">
        <w:rPr>
          <w:rFonts w:ascii="Times New Roman" w:hAnsi="Times New Roman"/>
          <w:bCs/>
          <w:sz w:val="24"/>
          <w:szCs w:val="24"/>
        </w:rPr>
        <w:t xml:space="preserve">Prihodi za posebne namjene </w:t>
      </w:r>
      <w:r w:rsidR="00411262" w:rsidRPr="00411262">
        <w:rPr>
          <w:rFonts w:ascii="Times New Roman" w:hAnsi="Times New Roman"/>
          <w:bCs/>
          <w:sz w:val="24"/>
          <w:szCs w:val="24"/>
        </w:rPr>
        <w:t>čine u najvećem opsegu prihodi od školarina za Sveučilišni Integrirani prijediplomski i diplomski studij Dentalna medicina</w:t>
      </w:r>
      <w:r w:rsidR="00411262" w:rsidRPr="00411262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411262" w:rsidRPr="00411262">
        <w:rPr>
          <w:rFonts w:ascii="Times New Roman" w:hAnsi="Times New Roman"/>
          <w:bCs/>
          <w:sz w:val="24"/>
          <w:szCs w:val="24"/>
          <w:lang w:val="en-AU"/>
        </w:rPr>
        <w:t>na</w:t>
      </w:r>
      <w:proofErr w:type="spellEnd"/>
      <w:r w:rsidR="00411262" w:rsidRPr="00411262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411262" w:rsidRPr="00411262">
        <w:rPr>
          <w:rFonts w:ascii="Times New Roman" w:hAnsi="Times New Roman"/>
          <w:bCs/>
          <w:sz w:val="24"/>
          <w:szCs w:val="24"/>
          <w:lang w:val="en-AU"/>
        </w:rPr>
        <w:t>engleskom</w:t>
      </w:r>
      <w:proofErr w:type="spellEnd"/>
      <w:r w:rsidR="00411262" w:rsidRPr="00411262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411262" w:rsidRPr="00411262">
        <w:rPr>
          <w:rFonts w:ascii="Times New Roman" w:hAnsi="Times New Roman"/>
          <w:bCs/>
          <w:sz w:val="24"/>
          <w:szCs w:val="24"/>
          <w:lang w:val="en-AU"/>
        </w:rPr>
        <w:t>jeziku</w:t>
      </w:r>
      <w:proofErr w:type="spellEnd"/>
      <w:r w:rsidR="00411262" w:rsidRPr="00411262">
        <w:rPr>
          <w:rFonts w:ascii="Times New Roman" w:hAnsi="Times New Roman"/>
          <w:bCs/>
          <w:sz w:val="24"/>
          <w:szCs w:val="24"/>
        </w:rPr>
        <w:t xml:space="preserve"> i prihodi od školarina za poslijediplomski doktorski studij Dentalna Medicina, koji se uplaćuju tijekom up</w:t>
      </w:r>
      <w:r w:rsidR="00411262">
        <w:rPr>
          <w:rFonts w:ascii="Times New Roman" w:hAnsi="Times New Roman"/>
          <w:bCs/>
          <w:sz w:val="24"/>
          <w:szCs w:val="24"/>
        </w:rPr>
        <w:t>isa u novu akademsku godinu 2025</w:t>
      </w:r>
      <w:r w:rsidR="00411262" w:rsidRPr="00411262">
        <w:rPr>
          <w:rFonts w:ascii="Times New Roman" w:hAnsi="Times New Roman"/>
          <w:bCs/>
          <w:sz w:val="24"/>
          <w:szCs w:val="24"/>
        </w:rPr>
        <w:t>.</w:t>
      </w:r>
      <w:r w:rsidR="00411262">
        <w:rPr>
          <w:rFonts w:ascii="Times New Roman" w:hAnsi="Times New Roman"/>
          <w:bCs/>
          <w:sz w:val="24"/>
          <w:szCs w:val="24"/>
        </w:rPr>
        <w:t>/2026</w:t>
      </w:r>
      <w:r w:rsidR="00411262" w:rsidRPr="00411262">
        <w:rPr>
          <w:rFonts w:ascii="Times New Roman" w:hAnsi="Times New Roman"/>
          <w:bCs/>
          <w:sz w:val="24"/>
          <w:szCs w:val="24"/>
        </w:rPr>
        <w:t>. Iz razloga što se većina tih prihoda ostvaruje u drugom polugodištu reali</w:t>
      </w:r>
      <w:r w:rsidR="00411262">
        <w:rPr>
          <w:rFonts w:ascii="Times New Roman" w:hAnsi="Times New Roman"/>
          <w:bCs/>
          <w:sz w:val="24"/>
          <w:szCs w:val="24"/>
        </w:rPr>
        <w:t>zacija ovih prihoda iznosi 38,67</w:t>
      </w:r>
      <w:r w:rsidR="00411262" w:rsidRPr="00411262">
        <w:rPr>
          <w:rFonts w:ascii="Times New Roman" w:hAnsi="Times New Roman"/>
          <w:bCs/>
          <w:sz w:val="24"/>
          <w:szCs w:val="24"/>
        </w:rPr>
        <w:t>% ukupnog godišnjeg plana.</w:t>
      </w:r>
    </w:p>
    <w:p w:rsidR="00202FCA" w:rsidRPr="00996839" w:rsidRDefault="00411262" w:rsidP="0075195F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52 Ostale pomoći izvršeno u odnosu na plan 41,61%, a evidentiraju se: </w:t>
      </w:r>
      <w:r w:rsidR="00802FB1" w:rsidRPr="00802FB1">
        <w:rPr>
          <w:rFonts w:ascii="Times New Roman" w:hAnsi="Times New Roman"/>
          <w:bCs/>
          <w:sz w:val="24"/>
          <w:szCs w:val="24"/>
        </w:rPr>
        <w:t>Tekuće pomoći proračunskim korisnicima iz proračuna koji im nije nadležan – odstupanje u odnosu na prošlu godinu jer smo u ovoj godini dobili doznake sredstava kao financijska podrška za organizaciju studentskog kongresa.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31F1B" w:rsidRPr="00A31F1B">
        <w:rPr>
          <w:rFonts w:ascii="Times New Roman" w:hAnsi="Times New Roman"/>
          <w:bCs/>
          <w:sz w:val="24"/>
          <w:szCs w:val="24"/>
        </w:rPr>
        <w:t>Tekući prijenosi između proračuns</w:t>
      </w:r>
      <w:r w:rsidR="00996839">
        <w:rPr>
          <w:rFonts w:ascii="Times New Roman" w:hAnsi="Times New Roman"/>
          <w:bCs/>
          <w:sz w:val="24"/>
          <w:szCs w:val="24"/>
        </w:rPr>
        <w:t>kih korisnika istog proračuna</w:t>
      </w:r>
      <w:r w:rsidR="009D79CD">
        <w:rPr>
          <w:rFonts w:ascii="Times New Roman" w:hAnsi="Times New Roman"/>
          <w:bCs/>
          <w:sz w:val="24"/>
          <w:szCs w:val="24"/>
        </w:rPr>
        <w:t xml:space="preserve"> u odnosu na prošlu godinu manje su izvršeni jer</w:t>
      </w:r>
      <w:r w:rsidR="009D79CD" w:rsidRPr="009D79CD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r w:rsidR="009D79CD">
        <w:rPr>
          <w:rFonts w:ascii="Times New Roman" w:hAnsi="Times New Roman"/>
          <w:bCs/>
          <w:sz w:val="24"/>
          <w:szCs w:val="24"/>
          <w:lang w:val="en-AU"/>
        </w:rPr>
        <w:t xml:space="preserve">je </w:t>
      </w:r>
      <w:proofErr w:type="spellStart"/>
      <w:r w:rsidR="009D79CD">
        <w:rPr>
          <w:rFonts w:ascii="Times New Roman" w:hAnsi="Times New Roman"/>
          <w:bCs/>
          <w:sz w:val="24"/>
          <w:szCs w:val="24"/>
          <w:lang w:val="en-AU"/>
        </w:rPr>
        <w:t>promijenjen</w:t>
      </w:r>
      <w:proofErr w:type="spellEnd"/>
      <w:r w:rsidR="009D79CD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r w:rsidR="009D79CD" w:rsidRPr="00A31F1B">
        <w:rPr>
          <w:rFonts w:ascii="Times New Roman" w:hAnsi="Times New Roman"/>
          <w:bCs/>
          <w:sz w:val="24"/>
          <w:szCs w:val="24"/>
          <w:lang w:val="en-AU"/>
        </w:rPr>
        <w:t>model</w:t>
      </w:r>
      <w:r w:rsidR="009D79CD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9D79CD">
        <w:rPr>
          <w:rFonts w:ascii="Times New Roman" w:hAnsi="Times New Roman"/>
          <w:bCs/>
          <w:sz w:val="24"/>
          <w:szCs w:val="24"/>
          <w:lang w:val="en-AU"/>
        </w:rPr>
        <w:t>doznake</w:t>
      </w:r>
      <w:proofErr w:type="spellEnd"/>
      <w:r w:rsidR="009D79CD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9D79CD">
        <w:rPr>
          <w:rFonts w:ascii="Times New Roman" w:hAnsi="Times New Roman"/>
          <w:bCs/>
          <w:sz w:val="24"/>
          <w:szCs w:val="24"/>
          <w:lang w:val="en-AU"/>
        </w:rPr>
        <w:t>sredstava</w:t>
      </w:r>
      <w:proofErr w:type="spellEnd"/>
      <w:r w:rsidR="009D79CD">
        <w:rPr>
          <w:rFonts w:ascii="Times New Roman" w:hAnsi="Times New Roman"/>
          <w:bCs/>
          <w:sz w:val="24"/>
          <w:szCs w:val="24"/>
          <w:lang w:val="en-AU"/>
        </w:rPr>
        <w:t xml:space="preserve">, </w:t>
      </w:r>
      <w:proofErr w:type="spellStart"/>
      <w:r w:rsidR="009D79CD">
        <w:rPr>
          <w:rFonts w:ascii="Times New Roman" w:hAnsi="Times New Roman"/>
          <w:bCs/>
          <w:sz w:val="24"/>
          <w:szCs w:val="24"/>
          <w:lang w:val="en-AU"/>
        </w:rPr>
        <w:t>zadnja</w:t>
      </w:r>
      <w:proofErr w:type="spellEnd"/>
      <w:r w:rsidR="009D79CD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9D79CD">
        <w:rPr>
          <w:rFonts w:ascii="Times New Roman" w:hAnsi="Times New Roman"/>
          <w:bCs/>
          <w:sz w:val="24"/>
          <w:szCs w:val="24"/>
          <w:lang w:val="en-AU"/>
        </w:rPr>
        <w:t>doznaka</w:t>
      </w:r>
      <w:proofErr w:type="spellEnd"/>
      <w:r w:rsidR="009D79CD" w:rsidRPr="00A31F1B">
        <w:rPr>
          <w:rFonts w:ascii="Times New Roman" w:hAnsi="Times New Roman"/>
          <w:bCs/>
          <w:sz w:val="24"/>
          <w:szCs w:val="24"/>
          <w:lang w:val="en-AU"/>
        </w:rPr>
        <w:t xml:space="preserve"> se </w:t>
      </w:r>
      <w:proofErr w:type="spellStart"/>
      <w:r w:rsidR="009D79CD" w:rsidRPr="00A31F1B">
        <w:rPr>
          <w:rFonts w:ascii="Times New Roman" w:hAnsi="Times New Roman"/>
          <w:bCs/>
          <w:sz w:val="24"/>
          <w:szCs w:val="24"/>
          <w:lang w:val="en-AU"/>
        </w:rPr>
        <w:t>isplaćuje</w:t>
      </w:r>
      <w:proofErr w:type="spellEnd"/>
      <w:r w:rsidR="009D79CD" w:rsidRPr="00A31F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9D79CD" w:rsidRPr="00A31F1B">
        <w:rPr>
          <w:rFonts w:ascii="Times New Roman" w:hAnsi="Times New Roman"/>
          <w:bCs/>
          <w:sz w:val="24"/>
          <w:szCs w:val="24"/>
          <w:lang w:val="en-AU"/>
        </w:rPr>
        <w:t>tek</w:t>
      </w:r>
      <w:proofErr w:type="spellEnd"/>
      <w:r w:rsidR="009D79CD" w:rsidRPr="00A31F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9D79CD" w:rsidRPr="00A31F1B">
        <w:rPr>
          <w:rFonts w:ascii="Times New Roman" w:hAnsi="Times New Roman"/>
          <w:bCs/>
          <w:sz w:val="24"/>
          <w:szCs w:val="24"/>
          <w:lang w:val="en-AU"/>
        </w:rPr>
        <w:t>nakon</w:t>
      </w:r>
      <w:proofErr w:type="spellEnd"/>
      <w:r w:rsidR="009D79CD" w:rsidRPr="00A31F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9D79CD" w:rsidRPr="00A31F1B">
        <w:rPr>
          <w:rFonts w:ascii="Times New Roman" w:hAnsi="Times New Roman"/>
          <w:bCs/>
          <w:sz w:val="24"/>
          <w:szCs w:val="24"/>
          <w:lang w:val="en-AU"/>
        </w:rPr>
        <w:t>završetka</w:t>
      </w:r>
      <w:proofErr w:type="spellEnd"/>
      <w:r w:rsidR="009D79CD" w:rsidRPr="00A31F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9D79CD" w:rsidRPr="00A31F1B">
        <w:rPr>
          <w:rFonts w:ascii="Times New Roman" w:hAnsi="Times New Roman"/>
          <w:bCs/>
          <w:sz w:val="24"/>
          <w:szCs w:val="24"/>
          <w:lang w:val="en-AU"/>
        </w:rPr>
        <w:t>proje</w:t>
      </w:r>
      <w:r w:rsidR="009D79CD">
        <w:rPr>
          <w:rFonts w:ascii="Times New Roman" w:hAnsi="Times New Roman"/>
          <w:bCs/>
          <w:sz w:val="24"/>
          <w:szCs w:val="24"/>
          <w:lang w:val="en-AU"/>
        </w:rPr>
        <w:t>kta</w:t>
      </w:r>
      <w:proofErr w:type="spellEnd"/>
      <w:r w:rsidR="009D79CD">
        <w:rPr>
          <w:rFonts w:ascii="Times New Roman" w:hAnsi="Times New Roman"/>
          <w:bCs/>
          <w:sz w:val="24"/>
          <w:szCs w:val="24"/>
          <w:lang w:val="en-AU"/>
        </w:rPr>
        <w:t>.</w:t>
      </w:r>
      <w:r w:rsidR="00996839">
        <w:rPr>
          <w:rFonts w:ascii="Times New Roman" w:hAnsi="Times New Roman"/>
          <w:bCs/>
          <w:sz w:val="24"/>
          <w:szCs w:val="24"/>
        </w:rPr>
        <w:t xml:space="preserve"> </w:t>
      </w:r>
      <w:r w:rsidR="00A31F1B" w:rsidRPr="00A31F1B">
        <w:rPr>
          <w:rFonts w:ascii="Times New Roman" w:hAnsi="Times New Roman"/>
          <w:bCs/>
          <w:sz w:val="24"/>
          <w:szCs w:val="24"/>
        </w:rPr>
        <w:t>Tekući prijenosi između proračunskih korisnika istog proračuna temeljem prijenosa EU sredstava u odnosu na</w:t>
      </w:r>
      <w:r w:rsidR="00B67006">
        <w:rPr>
          <w:rFonts w:ascii="Times New Roman" w:hAnsi="Times New Roman"/>
          <w:bCs/>
          <w:sz w:val="24"/>
          <w:szCs w:val="24"/>
        </w:rPr>
        <w:t xml:space="preserve"> prošlu godinu više su izvršeni</w:t>
      </w:r>
      <w:r w:rsidR="00996839">
        <w:rPr>
          <w:rFonts w:ascii="Times New Roman" w:hAnsi="Times New Roman"/>
          <w:bCs/>
          <w:sz w:val="24"/>
          <w:szCs w:val="24"/>
        </w:rPr>
        <w:t xml:space="preserve"> </w:t>
      </w:r>
      <w:r w:rsidR="00A31F1B" w:rsidRPr="00A31F1B">
        <w:rPr>
          <w:rFonts w:ascii="Times New Roman" w:hAnsi="Times New Roman"/>
          <w:bCs/>
          <w:sz w:val="24"/>
          <w:szCs w:val="24"/>
        </w:rPr>
        <w:t xml:space="preserve">jer </w:t>
      </w:r>
      <w:r w:rsidR="00B67006">
        <w:rPr>
          <w:rFonts w:ascii="Times New Roman" w:hAnsi="Times New Roman"/>
          <w:bCs/>
          <w:sz w:val="24"/>
          <w:szCs w:val="24"/>
        </w:rPr>
        <w:t xml:space="preserve">smo </w:t>
      </w:r>
      <w:r w:rsidR="002A70A4">
        <w:rPr>
          <w:rFonts w:ascii="Times New Roman" w:hAnsi="Times New Roman"/>
          <w:bCs/>
          <w:sz w:val="24"/>
          <w:szCs w:val="24"/>
        </w:rPr>
        <w:t>u ovoj godini</w:t>
      </w:r>
      <w:r w:rsidR="00A31F1B" w:rsidRPr="00A31F1B">
        <w:rPr>
          <w:rFonts w:ascii="Times New Roman" w:hAnsi="Times New Roman"/>
          <w:bCs/>
          <w:sz w:val="24"/>
          <w:szCs w:val="24"/>
        </w:rPr>
        <w:t xml:space="preserve"> imali više ugovorenih financijskih potpora za </w:t>
      </w:r>
      <w:proofErr w:type="spellStart"/>
      <w:r w:rsidR="00A31F1B" w:rsidRPr="00A31F1B">
        <w:rPr>
          <w:rFonts w:ascii="Times New Roman" w:hAnsi="Times New Roman"/>
          <w:bCs/>
          <w:sz w:val="24"/>
          <w:szCs w:val="24"/>
        </w:rPr>
        <w:t>Erasmus</w:t>
      </w:r>
      <w:proofErr w:type="spellEnd"/>
      <w:r w:rsidR="00A31F1B" w:rsidRPr="00A31F1B">
        <w:rPr>
          <w:rFonts w:ascii="Times New Roman" w:hAnsi="Times New Roman"/>
          <w:bCs/>
          <w:sz w:val="24"/>
          <w:szCs w:val="24"/>
        </w:rPr>
        <w:t xml:space="preserve"> + mobilnosti.</w:t>
      </w:r>
      <w:r w:rsidR="009E4788" w:rsidRPr="00A31F1B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</w:p>
    <w:p w:rsidR="0032700C" w:rsidRPr="00D662B8" w:rsidRDefault="002A70A4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AU"/>
        </w:rPr>
      </w:pPr>
      <w:r>
        <w:rPr>
          <w:rFonts w:ascii="Times New Roman" w:hAnsi="Times New Roman"/>
          <w:bCs/>
          <w:sz w:val="24"/>
          <w:szCs w:val="24"/>
        </w:rPr>
        <w:t>Na izvoru 61 Donacije</w:t>
      </w:r>
      <w:r w:rsidR="009E4788" w:rsidRPr="00D662B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u odnosu na plan izvršeno 82,70%, </w:t>
      </w:r>
      <w:r w:rsidR="009E4788" w:rsidRPr="00D662B8">
        <w:rPr>
          <w:rFonts w:ascii="Times New Roman" w:hAnsi="Times New Roman"/>
          <w:bCs/>
          <w:sz w:val="24"/>
          <w:szCs w:val="24"/>
        </w:rPr>
        <w:t>d</w:t>
      </w:r>
      <w:r>
        <w:rPr>
          <w:rFonts w:ascii="Times New Roman" w:hAnsi="Times New Roman"/>
          <w:bCs/>
          <w:sz w:val="24"/>
          <w:szCs w:val="24"/>
        </w:rPr>
        <w:t>obivene su</w:t>
      </w:r>
      <w:r w:rsidR="009E4788" w:rsidRPr="00D662B8">
        <w:rPr>
          <w:rFonts w:ascii="Times New Roman" w:hAnsi="Times New Roman"/>
          <w:bCs/>
          <w:sz w:val="24"/>
          <w:szCs w:val="24"/>
        </w:rPr>
        <w:t xml:space="preserve"> od poslovnih subjekata izvan općeg proračuna</w:t>
      </w:r>
      <w:r w:rsidR="00C67039" w:rsidRPr="00D662B8">
        <w:rPr>
          <w:rFonts w:ascii="Times New Roman" w:hAnsi="Times New Roman"/>
          <w:bCs/>
          <w:sz w:val="24"/>
          <w:szCs w:val="24"/>
        </w:rPr>
        <w:t>, udruga, pravnih i fizičkih osoba</w:t>
      </w:r>
      <w:r w:rsidR="009E4788" w:rsidRPr="00D662B8">
        <w:rPr>
          <w:rFonts w:ascii="Times New Roman" w:hAnsi="Times New Roman"/>
          <w:bCs/>
          <w:sz w:val="24"/>
          <w:szCs w:val="24"/>
        </w:rPr>
        <w:t xml:space="preserve">. </w:t>
      </w:r>
      <w:r w:rsidR="00D662B8" w:rsidRPr="00D662B8">
        <w:rPr>
          <w:rFonts w:ascii="Times New Roman" w:hAnsi="Times New Roman"/>
          <w:bCs/>
          <w:sz w:val="24"/>
          <w:szCs w:val="24"/>
        </w:rPr>
        <w:t xml:space="preserve">Donacije su u odnosu na prošlu godinu više izvršene, bilo je više </w:t>
      </w:r>
      <w:r>
        <w:rPr>
          <w:rFonts w:ascii="Times New Roman" w:hAnsi="Times New Roman"/>
          <w:bCs/>
          <w:sz w:val="24"/>
          <w:szCs w:val="24"/>
        </w:rPr>
        <w:t xml:space="preserve">dobivenih </w:t>
      </w:r>
      <w:r w:rsidR="00D662B8" w:rsidRPr="00D662B8">
        <w:rPr>
          <w:rFonts w:ascii="Times New Roman" w:hAnsi="Times New Roman"/>
          <w:bCs/>
          <w:sz w:val="24"/>
          <w:szCs w:val="24"/>
        </w:rPr>
        <w:t>d</w:t>
      </w:r>
      <w:r w:rsidR="00996839">
        <w:rPr>
          <w:rFonts w:ascii="Times New Roman" w:hAnsi="Times New Roman"/>
          <w:bCs/>
          <w:sz w:val="24"/>
          <w:szCs w:val="24"/>
        </w:rPr>
        <w:t xml:space="preserve">onacija za </w:t>
      </w:r>
      <w:r>
        <w:rPr>
          <w:rFonts w:ascii="Times New Roman" w:hAnsi="Times New Roman"/>
          <w:bCs/>
          <w:sz w:val="24"/>
          <w:szCs w:val="24"/>
        </w:rPr>
        <w:t xml:space="preserve">organizaciju i </w:t>
      </w:r>
      <w:r w:rsidR="00996839">
        <w:rPr>
          <w:rFonts w:ascii="Times New Roman" w:hAnsi="Times New Roman"/>
          <w:bCs/>
          <w:sz w:val="24"/>
          <w:szCs w:val="24"/>
        </w:rPr>
        <w:t>provedbu</w:t>
      </w:r>
      <w:r w:rsidR="009851BB">
        <w:rPr>
          <w:rFonts w:ascii="Times New Roman" w:hAnsi="Times New Roman"/>
          <w:bCs/>
          <w:sz w:val="24"/>
          <w:szCs w:val="24"/>
        </w:rPr>
        <w:t xml:space="preserve"> kongresa,</w:t>
      </w:r>
      <w:bookmarkStart w:id="0" w:name="_GoBack"/>
      <w:bookmarkEnd w:id="0"/>
      <w:r w:rsidR="00996839">
        <w:rPr>
          <w:rFonts w:ascii="Times New Roman" w:hAnsi="Times New Roman"/>
          <w:bCs/>
          <w:sz w:val="24"/>
          <w:szCs w:val="24"/>
        </w:rPr>
        <w:t xml:space="preserve"> studentskih </w:t>
      </w:r>
      <w:r>
        <w:rPr>
          <w:rFonts w:ascii="Times New Roman" w:hAnsi="Times New Roman"/>
          <w:bCs/>
          <w:sz w:val="24"/>
          <w:szCs w:val="24"/>
        </w:rPr>
        <w:t>programa</w:t>
      </w:r>
      <w:r w:rsidR="00D662B8" w:rsidRPr="00D662B8">
        <w:rPr>
          <w:rFonts w:ascii="Times New Roman" w:hAnsi="Times New Roman"/>
          <w:bCs/>
          <w:sz w:val="24"/>
          <w:szCs w:val="24"/>
        </w:rPr>
        <w:t xml:space="preserve"> i radionica</w:t>
      </w:r>
      <w:r>
        <w:rPr>
          <w:rFonts w:ascii="Times New Roman" w:hAnsi="Times New Roman"/>
          <w:bCs/>
          <w:sz w:val="24"/>
          <w:szCs w:val="24"/>
        </w:rPr>
        <w:t>, te za dodjelu studentskih nagrada</w:t>
      </w:r>
      <w:r w:rsidR="00D662B8" w:rsidRPr="00D662B8">
        <w:rPr>
          <w:rFonts w:ascii="Times New Roman" w:hAnsi="Times New Roman"/>
          <w:bCs/>
          <w:sz w:val="24"/>
          <w:szCs w:val="24"/>
        </w:rPr>
        <w:t>.</w:t>
      </w:r>
      <w:r w:rsidRPr="002A70A4">
        <w:rPr>
          <w:rFonts w:ascii="Arial" w:eastAsia="Times New Roman" w:hAnsi="Arial" w:cs="Arial"/>
          <w:sz w:val="20"/>
          <w:szCs w:val="20"/>
          <w:lang w:val="en-AU" w:eastAsia="hr-HR"/>
        </w:rPr>
        <w:t xml:space="preserve"> </w:t>
      </w:r>
    </w:p>
    <w:p w:rsidR="001A0921" w:rsidRDefault="002A70A4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71 </w:t>
      </w:r>
      <w:r w:rsidR="00506079" w:rsidRPr="002A25EE">
        <w:rPr>
          <w:rFonts w:ascii="Times New Roman" w:hAnsi="Times New Roman"/>
          <w:bCs/>
          <w:sz w:val="24"/>
          <w:szCs w:val="24"/>
        </w:rPr>
        <w:t xml:space="preserve">Prihodi od </w:t>
      </w:r>
      <w:r>
        <w:rPr>
          <w:rFonts w:ascii="Times New Roman" w:hAnsi="Times New Roman"/>
          <w:bCs/>
          <w:sz w:val="24"/>
          <w:szCs w:val="24"/>
        </w:rPr>
        <w:t>nefinancijske</w:t>
      </w:r>
      <w:r w:rsidR="00506079" w:rsidRPr="002A25EE">
        <w:rPr>
          <w:rFonts w:ascii="Times New Roman" w:hAnsi="Times New Roman"/>
          <w:bCs/>
          <w:sz w:val="24"/>
          <w:szCs w:val="24"/>
        </w:rPr>
        <w:t xml:space="preserve"> imovine sadrž</w:t>
      </w:r>
      <w:r w:rsidR="001A0921">
        <w:rPr>
          <w:rFonts w:ascii="Times New Roman" w:hAnsi="Times New Roman"/>
          <w:bCs/>
          <w:sz w:val="24"/>
          <w:szCs w:val="24"/>
        </w:rPr>
        <w:t>ani su prihodi</w:t>
      </w:r>
      <w:r w:rsidR="00506079" w:rsidRPr="002A25EE">
        <w:rPr>
          <w:rFonts w:ascii="Times New Roman" w:hAnsi="Times New Roman"/>
          <w:bCs/>
          <w:sz w:val="24"/>
          <w:szCs w:val="24"/>
        </w:rPr>
        <w:t xml:space="preserve"> od </w:t>
      </w:r>
      <w:r>
        <w:rPr>
          <w:rFonts w:ascii="Times New Roman" w:hAnsi="Times New Roman"/>
          <w:bCs/>
          <w:sz w:val="24"/>
          <w:szCs w:val="24"/>
        </w:rPr>
        <w:t>uplata za stambene objekte, koji</w:t>
      </w:r>
      <w:r w:rsidR="00506079" w:rsidRPr="002A25EE">
        <w:rPr>
          <w:rFonts w:ascii="Times New Roman" w:hAnsi="Times New Roman"/>
          <w:bCs/>
          <w:sz w:val="24"/>
          <w:szCs w:val="24"/>
        </w:rPr>
        <w:t xml:space="preserve"> su</w:t>
      </w:r>
      <w:r>
        <w:rPr>
          <w:rFonts w:ascii="Times New Roman" w:hAnsi="Times New Roman"/>
          <w:bCs/>
          <w:sz w:val="24"/>
          <w:szCs w:val="24"/>
        </w:rPr>
        <w:t xml:space="preserve"> u odnosu na plan izvršeni 28,22%. Odnose se na manje uplaćene prihode za otkup stanova</w:t>
      </w:r>
      <w:r w:rsidR="001A0921">
        <w:rPr>
          <w:rFonts w:ascii="Times New Roman" w:hAnsi="Times New Roman"/>
          <w:bCs/>
          <w:sz w:val="24"/>
          <w:szCs w:val="24"/>
        </w:rPr>
        <w:t>.</w:t>
      </w:r>
      <w:r w:rsidR="00506079" w:rsidRPr="002A25EE">
        <w:rPr>
          <w:rFonts w:ascii="Times New Roman" w:hAnsi="Times New Roman"/>
          <w:bCs/>
          <w:sz w:val="24"/>
          <w:szCs w:val="24"/>
        </w:rPr>
        <w:t xml:space="preserve"> </w:t>
      </w:r>
    </w:p>
    <w:p w:rsidR="001A0921" w:rsidRDefault="001A0921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C38BB" w:rsidRDefault="000C38BB" w:rsidP="0082637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840B1">
        <w:rPr>
          <w:rFonts w:ascii="Times New Roman" w:hAnsi="Times New Roman"/>
          <w:b/>
          <w:bCs/>
          <w:sz w:val="24"/>
          <w:szCs w:val="24"/>
        </w:rPr>
        <w:t>RASHODI I IZDACI</w:t>
      </w:r>
    </w:p>
    <w:p w:rsidR="0082637D" w:rsidRDefault="0082637D" w:rsidP="0082637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4788" w:rsidRPr="009E4788" w:rsidRDefault="00E86EFF" w:rsidP="00075D39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Ukupni rashodi za 2025</w:t>
      </w:r>
      <w:r w:rsidR="009E4788" w:rsidRPr="009E4788">
        <w:rPr>
          <w:rFonts w:ascii="Times New Roman" w:hAnsi="Times New Roman"/>
          <w:bCs/>
          <w:sz w:val="24"/>
          <w:szCs w:val="24"/>
        </w:rPr>
        <w:t>. go</w:t>
      </w:r>
      <w:r w:rsidR="00075D39">
        <w:rPr>
          <w:rFonts w:ascii="Times New Roman" w:hAnsi="Times New Roman"/>
          <w:bCs/>
          <w:sz w:val="24"/>
          <w:szCs w:val="24"/>
        </w:rPr>
        <w:t xml:space="preserve">dinu planirani su u iznosu </w:t>
      </w:r>
      <w:r>
        <w:rPr>
          <w:rFonts w:ascii="Times New Roman" w:hAnsi="Times New Roman"/>
          <w:bCs/>
          <w:sz w:val="24"/>
          <w:szCs w:val="24"/>
        </w:rPr>
        <w:t>10.400.607</w:t>
      </w:r>
      <w:r w:rsidR="00416000">
        <w:rPr>
          <w:rFonts w:ascii="Times New Roman" w:hAnsi="Times New Roman"/>
          <w:bCs/>
          <w:sz w:val="24"/>
          <w:szCs w:val="24"/>
        </w:rPr>
        <w:t>,00 eura</w:t>
      </w:r>
      <w:r w:rsidR="009E4788" w:rsidRPr="009E4788">
        <w:rPr>
          <w:rFonts w:ascii="Times New Roman" w:hAnsi="Times New Roman"/>
          <w:bCs/>
          <w:sz w:val="24"/>
          <w:szCs w:val="24"/>
        </w:rPr>
        <w:t xml:space="preserve">, a ostvareni su u razdoblju </w:t>
      </w:r>
      <w:r w:rsidR="00742C4C" w:rsidRPr="00742C4C">
        <w:rPr>
          <w:rFonts w:ascii="Times New Roman" w:hAnsi="Times New Roman"/>
          <w:bCs/>
          <w:sz w:val="24"/>
          <w:szCs w:val="24"/>
        </w:rPr>
        <w:t xml:space="preserve">siječanj – lipanj </w:t>
      </w:r>
      <w:r>
        <w:rPr>
          <w:rFonts w:ascii="Times New Roman" w:hAnsi="Times New Roman"/>
          <w:bCs/>
          <w:sz w:val="24"/>
          <w:szCs w:val="24"/>
        </w:rPr>
        <w:t>2025</w:t>
      </w:r>
      <w:r w:rsidR="009E4788" w:rsidRPr="009E4788">
        <w:rPr>
          <w:rFonts w:ascii="Times New Roman" w:hAnsi="Times New Roman"/>
          <w:bCs/>
          <w:sz w:val="24"/>
          <w:szCs w:val="24"/>
        </w:rPr>
        <w:t>. godine u</w:t>
      </w:r>
      <w:r w:rsidR="00075D39">
        <w:rPr>
          <w:rFonts w:ascii="Times New Roman" w:hAnsi="Times New Roman"/>
          <w:bCs/>
          <w:sz w:val="24"/>
          <w:szCs w:val="24"/>
        </w:rPr>
        <w:t xml:space="preserve"> iznosu </w:t>
      </w:r>
      <w:r>
        <w:rPr>
          <w:rFonts w:ascii="Times New Roman" w:hAnsi="Times New Roman"/>
          <w:bCs/>
          <w:sz w:val="24"/>
          <w:szCs w:val="24"/>
        </w:rPr>
        <w:t>5.101.714,62</w:t>
      </w:r>
      <w:r w:rsidR="00416000">
        <w:rPr>
          <w:rFonts w:ascii="Times New Roman" w:hAnsi="Times New Roman"/>
          <w:bCs/>
          <w:sz w:val="24"/>
          <w:szCs w:val="24"/>
        </w:rPr>
        <w:t xml:space="preserve"> eura</w:t>
      </w:r>
      <w:r>
        <w:rPr>
          <w:rFonts w:ascii="Times New Roman" w:hAnsi="Times New Roman"/>
          <w:bCs/>
          <w:sz w:val="24"/>
          <w:szCs w:val="24"/>
        </w:rPr>
        <w:t>, što je 49,05</w:t>
      </w:r>
      <w:r w:rsidR="001B7C59">
        <w:rPr>
          <w:rFonts w:ascii="Times New Roman" w:hAnsi="Times New Roman"/>
          <w:bCs/>
          <w:sz w:val="24"/>
          <w:szCs w:val="24"/>
        </w:rPr>
        <w:t>% u odnosu na godišnji plan.</w:t>
      </w:r>
      <w:r w:rsidR="00656A92">
        <w:rPr>
          <w:rFonts w:ascii="Times New Roman" w:hAnsi="Times New Roman"/>
          <w:bCs/>
          <w:sz w:val="24"/>
          <w:szCs w:val="24"/>
        </w:rPr>
        <w:t xml:space="preserve"> </w:t>
      </w:r>
      <w:r w:rsidR="009E4788" w:rsidRPr="009E4788">
        <w:rPr>
          <w:rFonts w:ascii="Times New Roman" w:hAnsi="Times New Roman"/>
          <w:bCs/>
          <w:sz w:val="24"/>
          <w:szCs w:val="24"/>
        </w:rPr>
        <w:t xml:space="preserve">Pregled </w:t>
      </w:r>
      <w:r>
        <w:rPr>
          <w:rFonts w:ascii="Times New Roman" w:hAnsi="Times New Roman"/>
          <w:bCs/>
          <w:sz w:val="24"/>
          <w:szCs w:val="24"/>
        </w:rPr>
        <w:t xml:space="preserve">planiranih i ostvarenih </w:t>
      </w:r>
      <w:r w:rsidR="009E4788" w:rsidRPr="009E4788">
        <w:rPr>
          <w:rFonts w:ascii="Times New Roman" w:hAnsi="Times New Roman"/>
          <w:bCs/>
          <w:sz w:val="24"/>
          <w:szCs w:val="24"/>
        </w:rPr>
        <w:t xml:space="preserve">rashoda prema </w:t>
      </w:r>
      <w:r w:rsidRPr="00E86EFF">
        <w:rPr>
          <w:rFonts w:ascii="Times New Roman" w:hAnsi="Times New Roman"/>
          <w:bCs/>
          <w:sz w:val="24"/>
          <w:szCs w:val="24"/>
        </w:rPr>
        <w:t>izvoru financiranja daje se u tabličnom prikazu:</w:t>
      </w:r>
    </w:p>
    <w:p w:rsidR="009E4788" w:rsidRPr="009E4788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4320"/>
        <w:gridCol w:w="723"/>
        <w:gridCol w:w="1756"/>
        <w:gridCol w:w="1836"/>
        <w:gridCol w:w="993"/>
      </w:tblGrid>
      <w:tr w:rsidR="00E86EFF" w:rsidRPr="00E86EFF" w:rsidTr="00972C4A">
        <w:tc>
          <w:tcPr>
            <w:tcW w:w="4320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Vrsta rashoda</w:t>
            </w:r>
          </w:p>
        </w:tc>
        <w:tc>
          <w:tcPr>
            <w:tcW w:w="723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Cs/>
                <w:sz w:val="24"/>
                <w:szCs w:val="24"/>
              </w:rPr>
              <w:t>Izvor fin.</w:t>
            </w:r>
          </w:p>
        </w:tc>
        <w:tc>
          <w:tcPr>
            <w:tcW w:w="1756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Cs/>
                <w:sz w:val="24"/>
                <w:szCs w:val="24"/>
              </w:rPr>
              <w:t>Plan</w:t>
            </w:r>
          </w:p>
        </w:tc>
        <w:tc>
          <w:tcPr>
            <w:tcW w:w="1836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Cs/>
                <w:sz w:val="24"/>
                <w:szCs w:val="24"/>
              </w:rPr>
              <w:t>Izvršenje</w:t>
            </w:r>
          </w:p>
        </w:tc>
        <w:tc>
          <w:tcPr>
            <w:tcW w:w="993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Cs/>
                <w:sz w:val="24"/>
                <w:szCs w:val="24"/>
              </w:rPr>
              <w:t>Indeks</w:t>
            </w:r>
          </w:p>
        </w:tc>
      </w:tr>
      <w:tr w:rsidR="00E86EFF" w:rsidRPr="00E86EFF" w:rsidTr="00972C4A">
        <w:tc>
          <w:tcPr>
            <w:tcW w:w="4320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Cs/>
                <w:sz w:val="24"/>
                <w:szCs w:val="24"/>
              </w:rPr>
              <w:t>Rashodi - iz nadležnog proračuna za financiranje redovne djelatnosti</w:t>
            </w:r>
          </w:p>
        </w:tc>
        <w:tc>
          <w:tcPr>
            <w:tcW w:w="723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56" w:type="dxa"/>
          </w:tcPr>
          <w:p w:rsidR="00E86EFF" w:rsidRPr="00E86EFF" w:rsidRDefault="00EE51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7.792.848,00</w:t>
            </w:r>
          </w:p>
        </w:tc>
        <w:tc>
          <w:tcPr>
            <w:tcW w:w="1836" w:type="dxa"/>
          </w:tcPr>
          <w:p w:rsidR="00E86EFF" w:rsidRPr="00E86EFF" w:rsidRDefault="00EE51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4.129.947,64</w:t>
            </w:r>
          </w:p>
        </w:tc>
        <w:tc>
          <w:tcPr>
            <w:tcW w:w="993" w:type="dxa"/>
          </w:tcPr>
          <w:p w:rsidR="00E86EFF" w:rsidRPr="00E86EFF" w:rsidRDefault="00EE51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53,00</w:t>
            </w:r>
          </w:p>
        </w:tc>
      </w:tr>
      <w:tr w:rsidR="00E86EFF" w:rsidRPr="00E86EFF" w:rsidTr="00C22790">
        <w:tc>
          <w:tcPr>
            <w:tcW w:w="4320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Cs/>
                <w:sz w:val="24"/>
                <w:szCs w:val="24"/>
              </w:rPr>
              <w:t>Rashod - od pruženih usluga i prodaje proizvoda</w:t>
            </w:r>
          </w:p>
        </w:tc>
        <w:tc>
          <w:tcPr>
            <w:tcW w:w="723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756" w:type="dxa"/>
          </w:tcPr>
          <w:p w:rsidR="00E86EFF" w:rsidRPr="00E86EFF" w:rsidRDefault="00EE51FF" w:rsidP="00C22790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325.950</w:t>
            </w:r>
            <w:r w:rsidR="00C22790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836" w:type="dxa"/>
          </w:tcPr>
          <w:p w:rsidR="00E86EFF" w:rsidRPr="00E86EFF" w:rsidRDefault="00EE51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164.015,23</w:t>
            </w:r>
          </w:p>
        </w:tc>
        <w:tc>
          <w:tcPr>
            <w:tcW w:w="993" w:type="dxa"/>
          </w:tcPr>
          <w:p w:rsidR="00E86EFF" w:rsidRPr="00E86EFF" w:rsidRDefault="00EE51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50,32</w:t>
            </w:r>
          </w:p>
        </w:tc>
      </w:tr>
      <w:tr w:rsidR="00E86EFF" w:rsidRPr="00E86EFF" w:rsidTr="00972C4A">
        <w:trPr>
          <w:trHeight w:val="438"/>
        </w:trPr>
        <w:tc>
          <w:tcPr>
            <w:tcW w:w="4320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Cs/>
                <w:sz w:val="24"/>
                <w:szCs w:val="24"/>
              </w:rPr>
              <w:t>Rashodi - po posebnim propisima i naknadama</w:t>
            </w:r>
          </w:p>
        </w:tc>
        <w:tc>
          <w:tcPr>
            <w:tcW w:w="723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756" w:type="dxa"/>
          </w:tcPr>
          <w:p w:rsidR="00E86EFF" w:rsidRPr="00E86EFF" w:rsidRDefault="00EE51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2.011.785,00</w:t>
            </w:r>
          </w:p>
        </w:tc>
        <w:tc>
          <w:tcPr>
            <w:tcW w:w="1836" w:type="dxa"/>
          </w:tcPr>
          <w:p w:rsidR="00E86EFF" w:rsidRPr="00E86EFF" w:rsidRDefault="00EE51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698.015,19</w:t>
            </w:r>
          </w:p>
        </w:tc>
        <w:tc>
          <w:tcPr>
            <w:tcW w:w="993" w:type="dxa"/>
          </w:tcPr>
          <w:p w:rsidR="00E86EFF" w:rsidRPr="00E86EFF" w:rsidRDefault="00EE51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34,70</w:t>
            </w:r>
          </w:p>
        </w:tc>
      </w:tr>
      <w:tr w:rsidR="00E86EFF" w:rsidRPr="00E86EFF" w:rsidTr="00972C4A">
        <w:tc>
          <w:tcPr>
            <w:tcW w:w="4320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Cs/>
                <w:sz w:val="24"/>
                <w:szCs w:val="24"/>
              </w:rPr>
              <w:t>Rashodi - od inozemnih vlada i subjekata unutar istog proračuna</w:t>
            </w:r>
          </w:p>
        </w:tc>
        <w:tc>
          <w:tcPr>
            <w:tcW w:w="723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756" w:type="dxa"/>
          </w:tcPr>
          <w:p w:rsidR="00E86EFF" w:rsidRPr="00E86EFF" w:rsidRDefault="00EE51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199.324,00</w:t>
            </w:r>
          </w:p>
        </w:tc>
        <w:tc>
          <w:tcPr>
            <w:tcW w:w="1836" w:type="dxa"/>
          </w:tcPr>
          <w:p w:rsidR="00E86EFF" w:rsidRPr="00E86EFF" w:rsidRDefault="00EE51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54.592,43</w:t>
            </w:r>
          </w:p>
        </w:tc>
        <w:tc>
          <w:tcPr>
            <w:tcW w:w="993" w:type="dxa"/>
          </w:tcPr>
          <w:p w:rsidR="00E86EFF" w:rsidRPr="00E86EFF" w:rsidRDefault="00EE51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27,39</w:t>
            </w:r>
          </w:p>
        </w:tc>
      </w:tr>
      <w:tr w:rsidR="00E86EFF" w:rsidRPr="00E86EFF" w:rsidTr="00972C4A">
        <w:tc>
          <w:tcPr>
            <w:tcW w:w="4320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Cs/>
                <w:sz w:val="24"/>
                <w:szCs w:val="24"/>
              </w:rPr>
              <w:t>Rashodi - Donacije</w:t>
            </w:r>
          </w:p>
        </w:tc>
        <w:tc>
          <w:tcPr>
            <w:tcW w:w="723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756" w:type="dxa"/>
          </w:tcPr>
          <w:p w:rsidR="00E86EFF" w:rsidRPr="00E86EFF" w:rsidRDefault="00EE51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70.000,00</w:t>
            </w:r>
          </w:p>
        </w:tc>
        <w:tc>
          <w:tcPr>
            <w:tcW w:w="1836" w:type="dxa"/>
          </w:tcPr>
          <w:p w:rsidR="00E86EFF" w:rsidRPr="00E86EFF" w:rsidRDefault="00EE51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54.946,59</w:t>
            </w:r>
          </w:p>
        </w:tc>
        <w:tc>
          <w:tcPr>
            <w:tcW w:w="993" w:type="dxa"/>
          </w:tcPr>
          <w:p w:rsidR="00E86EFF" w:rsidRPr="00E86EFF" w:rsidRDefault="00EE51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78,50</w:t>
            </w:r>
          </w:p>
        </w:tc>
      </w:tr>
      <w:tr w:rsidR="00906F2B" w:rsidRPr="00E86EFF" w:rsidTr="00972C4A">
        <w:tc>
          <w:tcPr>
            <w:tcW w:w="4320" w:type="dxa"/>
          </w:tcPr>
          <w:p w:rsidR="00906F2B" w:rsidRPr="00E86EFF" w:rsidRDefault="00906F2B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Rashodi – od nefinancijske imovine</w:t>
            </w:r>
          </w:p>
        </w:tc>
        <w:tc>
          <w:tcPr>
            <w:tcW w:w="723" w:type="dxa"/>
          </w:tcPr>
          <w:p w:rsidR="00906F2B" w:rsidRPr="00E86EFF" w:rsidRDefault="00906F2B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756" w:type="dxa"/>
          </w:tcPr>
          <w:p w:rsidR="00906F2B" w:rsidRPr="00E86EFF" w:rsidRDefault="00EE51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700,00</w:t>
            </w:r>
          </w:p>
        </w:tc>
        <w:tc>
          <w:tcPr>
            <w:tcW w:w="1836" w:type="dxa"/>
          </w:tcPr>
          <w:p w:rsidR="00906F2B" w:rsidRPr="00E86EFF" w:rsidRDefault="00EE51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197,54</w:t>
            </w:r>
          </w:p>
        </w:tc>
        <w:tc>
          <w:tcPr>
            <w:tcW w:w="993" w:type="dxa"/>
          </w:tcPr>
          <w:p w:rsidR="00906F2B" w:rsidRPr="00E86EFF" w:rsidRDefault="00EE51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28,22</w:t>
            </w:r>
          </w:p>
        </w:tc>
      </w:tr>
      <w:tr w:rsidR="00E86EFF" w:rsidRPr="00E86EFF" w:rsidTr="00972C4A">
        <w:tc>
          <w:tcPr>
            <w:tcW w:w="4320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/>
                <w:bCs/>
                <w:sz w:val="24"/>
                <w:szCs w:val="24"/>
              </w:rPr>
              <w:t>Ukupni rashodi</w:t>
            </w:r>
          </w:p>
        </w:tc>
        <w:tc>
          <w:tcPr>
            <w:tcW w:w="723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6" w:type="dxa"/>
          </w:tcPr>
          <w:p w:rsidR="00E86EFF" w:rsidRPr="00E86EFF" w:rsidRDefault="00EE51FF" w:rsidP="00E86EFF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10.400.607,00</w:t>
            </w:r>
          </w:p>
        </w:tc>
        <w:tc>
          <w:tcPr>
            <w:tcW w:w="1836" w:type="dxa"/>
          </w:tcPr>
          <w:p w:rsidR="00E86EFF" w:rsidRPr="00E86EFF" w:rsidRDefault="00EE51FF" w:rsidP="00E86EFF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5.101.714,62</w:t>
            </w:r>
          </w:p>
        </w:tc>
        <w:tc>
          <w:tcPr>
            <w:tcW w:w="993" w:type="dxa"/>
          </w:tcPr>
          <w:p w:rsidR="00E86EFF" w:rsidRPr="00E86EFF" w:rsidRDefault="00EE51FF" w:rsidP="00E86EFF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49,05</w:t>
            </w:r>
          </w:p>
        </w:tc>
      </w:tr>
    </w:tbl>
    <w:p w:rsidR="009E4788" w:rsidRPr="006A70C7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4788" w:rsidRPr="00EE51FF" w:rsidRDefault="009E4788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E51FF">
        <w:rPr>
          <w:rFonts w:ascii="Times New Roman" w:hAnsi="Times New Roman"/>
          <w:bCs/>
          <w:sz w:val="24"/>
          <w:szCs w:val="24"/>
        </w:rPr>
        <w:t>Uzimajući u obzir apsolutne vrijednosti planiranih i ostvarenih rashoda s obzirom na izvore financiranja, vidljivo je da ostvareni rashodi razmjerno prate planirane vrijednosti</w:t>
      </w:r>
      <w:r w:rsidR="00197397" w:rsidRPr="00EE51FF">
        <w:rPr>
          <w:rFonts w:ascii="Times New Roman" w:hAnsi="Times New Roman"/>
          <w:bCs/>
          <w:sz w:val="24"/>
          <w:szCs w:val="24"/>
        </w:rPr>
        <w:t>.</w:t>
      </w:r>
    </w:p>
    <w:p w:rsidR="00DC32C3" w:rsidRPr="00AE4B2C" w:rsidRDefault="00DC32C3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12890" w:rsidRPr="00972C4A" w:rsidRDefault="009E4788" w:rsidP="00012890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972C4A">
        <w:rPr>
          <w:rFonts w:ascii="Times New Roman" w:hAnsi="Times New Roman"/>
          <w:bCs/>
          <w:sz w:val="24"/>
          <w:szCs w:val="24"/>
          <w:u w:val="single"/>
        </w:rPr>
        <w:t>Rashodi poslovanja</w:t>
      </w:r>
      <w:r w:rsidR="001B7C59" w:rsidRPr="00972C4A">
        <w:rPr>
          <w:rFonts w:ascii="Times New Roman" w:hAnsi="Times New Roman"/>
          <w:bCs/>
          <w:sz w:val="24"/>
          <w:szCs w:val="24"/>
        </w:rPr>
        <w:t xml:space="preserve"> planirani su za 202</w:t>
      </w:r>
      <w:r w:rsidR="00972C4A" w:rsidRPr="00972C4A">
        <w:rPr>
          <w:rFonts w:ascii="Times New Roman" w:hAnsi="Times New Roman"/>
          <w:bCs/>
          <w:sz w:val="24"/>
          <w:szCs w:val="24"/>
        </w:rPr>
        <w:t>5</w:t>
      </w:r>
      <w:r w:rsidRPr="00972C4A">
        <w:rPr>
          <w:rFonts w:ascii="Times New Roman" w:hAnsi="Times New Roman"/>
          <w:bCs/>
          <w:sz w:val="24"/>
          <w:szCs w:val="24"/>
        </w:rPr>
        <w:t xml:space="preserve">. godinu u iznosu </w:t>
      </w:r>
      <w:r w:rsidR="00972C4A" w:rsidRPr="00972C4A">
        <w:rPr>
          <w:rFonts w:ascii="Times New Roman" w:hAnsi="Times New Roman"/>
          <w:bCs/>
          <w:sz w:val="24"/>
          <w:szCs w:val="24"/>
        </w:rPr>
        <w:t>9.999.482</w:t>
      </w:r>
      <w:r w:rsidR="001B7C59" w:rsidRPr="00972C4A">
        <w:rPr>
          <w:rFonts w:ascii="Times New Roman" w:hAnsi="Times New Roman"/>
          <w:bCs/>
          <w:sz w:val="24"/>
          <w:szCs w:val="24"/>
        </w:rPr>
        <w:t>,00</w:t>
      </w:r>
      <w:r w:rsidR="001B7C59" w:rsidRPr="00972C4A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416000" w:rsidRPr="00972C4A">
        <w:rPr>
          <w:rFonts w:ascii="Times New Roman" w:hAnsi="Times New Roman"/>
          <w:bCs/>
          <w:sz w:val="24"/>
          <w:szCs w:val="24"/>
        </w:rPr>
        <w:t>eura</w:t>
      </w:r>
      <w:r w:rsidRPr="00972C4A">
        <w:rPr>
          <w:rFonts w:ascii="Times New Roman" w:hAnsi="Times New Roman"/>
          <w:bCs/>
          <w:sz w:val="24"/>
          <w:szCs w:val="24"/>
        </w:rPr>
        <w:t>, a u razdoblju</w:t>
      </w:r>
      <w:r w:rsidR="00012890" w:rsidRPr="00972C4A">
        <w:rPr>
          <w:rFonts w:ascii="Times New Roman" w:hAnsi="Times New Roman"/>
          <w:bCs/>
          <w:sz w:val="24"/>
          <w:szCs w:val="24"/>
        </w:rPr>
        <w:t xml:space="preserve"> siječanj – lipanj</w:t>
      </w:r>
      <w:r w:rsidR="00972C4A" w:rsidRPr="00972C4A">
        <w:rPr>
          <w:rFonts w:ascii="Times New Roman" w:hAnsi="Times New Roman"/>
          <w:bCs/>
          <w:sz w:val="24"/>
          <w:szCs w:val="24"/>
        </w:rPr>
        <w:t xml:space="preserve"> 2025</w:t>
      </w:r>
      <w:r w:rsidRPr="00972C4A">
        <w:rPr>
          <w:rFonts w:ascii="Times New Roman" w:hAnsi="Times New Roman"/>
          <w:bCs/>
          <w:sz w:val="24"/>
          <w:szCs w:val="24"/>
        </w:rPr>
        <w:t xml:space="preserve">. ostvareni su u iznosu </w:t>
      </w:r>
      <w:r w:rsidR="00972C4A" w:rsidRPr="00972C4A">
        <w:rPr>
          <w:rFonts w:ascii="Times New Roman" w:hAnsi="Times New Roman"/>
          <w:bCs/>
          <w:sz w:val="24"/>
          <w:szCs w:val="24"/>
        </w:rPr>
        <w:t>5.040.483,86</w:t>
      </w:r>
      <w:r w:rsidR="001B7C59" w:rsidRPr="00972C4A">
        <w:rPr>
          <w:rFonts w:ascii="Times New Roman" w:hAnsi="Times New Roman"/>
          <w:bCs/>
          <w:sz w:val="24"/>
          <w:szCs w:val="24"/>
        </w:rPr>
        <w:t xml:space="preserve"> </w:t>
      </w:r>
      <w:r w:rsidR="00416000" w:rsidRPr="00972C4A">
        <w:rPr>
          <w:rFonts w:ascii="Times New Roman" w:hAnsi="Times New Roman"/>
          <w:bCs/>
          <w:sz w:val="24"/>
          <w:szCs w:val="24"/>
        </w:rPr>
        <w:t>eura</w:t>
      </w:r>
      <w:r w:rsidR="00972C4A" w:rsidRPr="00972C4A">
        <w:rPr>
          <w:rFonts w:ascii="Times New Roman" w:hAnsi="Times New Roman"/>
          <w:bCs/>
          <w:sz w:val="24"/>
          <w:szCs w:val="24"/>
        </w:rPr>
        <w:t>, što je 50,41</w:t>
      </w:r>
      <w:r w:rsidRPr="00972C4A">
        <w:rPr>
          <w:rFonts w:ascii="Times New Roman" w:hAnsi="Times New Roman"/>
          <w:bCs/>
          <w:sz w:val="24"/>
          <w:szCs w:val="24"/>
        </w:rPr>
        <w:t>% plana.</w:t>
      </w:r>
      <w:r w:rsidR="00012890" w:rsidRPr="00972C4A">
        <w:rPr>
          <w:rFonts w:ascii="Times New Roman" w:hAnsi="Times New Roman"/>
          <w:bCs/>
          <w:sz w:val="24"/>
          <w:szCs w:val="24"/>
        </w:rPr>
        <w:t xml:space="preserve"> Rashodi poslovanja sadrže rashode za zaposlene, materijalne rashode, financijske rashode i naknade građanima i kućanstvima.</w:t>
      </w:r>
    </w:p>
    <w:p w:rsidR="002154C7" w:rsidRPr="00972C4A" w:rsidRDefault="002154C7" w:rsidP="00012890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4788" w:rsidRPr="001063FB" w:rsidRDefault="009E4788" w:rsidP="005E7E6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063FB">
        <w:rPr>
          <w:rFonts w:ascii="Times New Roman" w:hAnsi="Times New Roman"/>
          <w:bCs/>
          <w:sz w:val="24"/>
          <w:szCs w:val="24"/>
        </w:rPr>
        <w:t>Rashode za zaposlene čine plaće koje se isplaćuju sukladno važećim kolektivnim ugovorima za jav</w:t>
      </w:r>
      <w:r w:rsidR="00012890" w:rsidRPr="001063FB">
        <w:rPr>
          <w:rFonts w:ascii="Times New Roman" w:hAnsi="Times New Roman"/>
          <w:bCs/>
          <w:sz w:val="24"/>
          <w:szCs w:val="24"/>
        </w:rPr>
        <w:t>ne službe i djelatnosti visokog obrazovanja</w:t>
      </w:r>
      <w:r w:rsidRPr="001063FB">
        <w:rPr>
          <w:rFonts w:ascii="Times New Roman" w:hAnsi="Times New Roman"/>
          <w:bCs/>
          <w:sz w:val="24"/>
          <w:szCs w:val="24"/>
        </w:rPr>
        <w:t xml:space="preserve"> kao i ostalim zakonskim i </w:t>
      </w:r>
      <w:proofErr w:type="spellStart"/>
      <w:r w:rsidRPr="001063FB">
        <w:rPr>
          <w:rFonts w:ascii="Times New Roman" w:hAnsi="Times New Roman"/>
          <w:bCs/>
          <w:sz w:val="24"/>
          <w:szCs w:val="24"/>
        </w:rPr>
        <w:t>podzakonskim</w:t>
      </w:r>
      <w:proofErr w:type="spellEnd"/>
      <w:r w:rsidRPr="001063FB">
        <w:rPr>
          <w:rFonts w:ascii="Times New Roman" w:hAnsi="Times New Roman"/>
          <w:bCs/>
          <w:sz w:val="24"/>
          <w:szCs w:val="24"/>
        </w:rPr>
        <w:t xml:space="preserve"> aktima, </w:t>
      </w:r>
      <w:r w:rsidR="00EC7664" w:rsidRPr="001063FB">
        <w:rPr>
          <w:rFonts w:ascii="Times New Roman" w:hAnsi="Times New Roman"/>
          <w:bCs/>
          <w:sz w:val="24"/>
          <w:szCs w:val="24"/>
        </w:rPr>
        <w:t>plaće za zaposlene na projektima Hrvatske zaklade za znanost, na plaće</w:t>
      </w:r>
      <w:r w:rsidR="00CC03AB" w:rsidRPr="001063FB">
        <w:rPr>
          <w:rFonts w:ascii="Times New Roman" w:hAnsi="Times New Roman"/>
          <w:bCs/>
          <w:sz w:val="24"/>
          <w:szCs w:val="24"/>
        </w:rPr>
        <w:t xml:space="preserve"> za zaposlene koji sudjeluju pri</w:t>
      </w:r>
      <w:r w:rsidR="00EC7664" w:rsidRPr="001063FB">
        <w:rPr>
          <w:rFonts w:ascii="Times New Roman" w:hAnsi="Times New Roman"/>
          <w:bCs/>
          <w:sz w:val="24"/>
          <w:szCs w:val="24"/>
        </w:rPr>
        <w:t xml:space="preserve"> izvođenju nastave na studiju Dentalne medicine na engleskom jeziku,</w:t>
      </w:r>
      <w:r w:rsidRPr="001063FB">
        <w:rPr>
          <w:rFonts w:ascii="Times New Roman" w:hAnsi="Times New Roman"/>
          <w:bCs/>
          <w:sz w:val="24"/>
          <w:szCs w:val="24"/>
        </w:rPr>
        <w:t xml:space="preserve"> ostala materijalna prava kao što su jubilarne nagrade, pomoći, regres i ostalo, te doprinosi na plaće. Ostvaren</w:t>
      </w:r>
      <w:r w:rsidR="00692F7F" w:rsidRPr="001063FB">
        <w:rPr>
          <w:rFonts w:ascii="Times New Roman" w:hAnsi="Times New Roman"/>
          <w:bCs/>
          <w:sz w:val="24"/>
          <w:szCs w:val="24"/>
        </w:rPr>
        <w:t xml:space="preserve">je ove skupine rashoda iznosi </w:t>
      </w:r>
      <w:r w:rsidR="00972C4A" w:rsidRPr="001063FB">
        <w:rPr>
          <w:rFonts w:ascii="Times New Roman" w:hAnsi="Times New Roman"/>
          <w:bCs/>
          <w:sz w:val="24"/>
          <w:szCs w:val="24"/>
        </w:rPr>
        <w:t>52,54</w:t>
      </w:r>
      <w:r w:rsidRPr="001063FB">
        <w:rPr>
          <w:rFonts w:ascii="Times New Roman" w:hAnsi="Times New Roman"/>
          <w:bCs/>
          <w:sz w:val="24"/>
          <w:szCs w:val="24"/>
        </w:rPr>
        <w:t xml:space="preserve">% </w:t>
      </w:r>
      <w:r w:rsidR="00692F7F" w:rsidRPr="001063FB">
        <w:rPr>
          <w:rFonts w:ascii="Times New Roman" w:hAnsi="Times New Roman"/>
          <w:bCs/>
          <w:sz w:val="24"/>
          <w:szCs w:val="24"/>
        </w:rPr>
        <w:t xml:space="preserve">plana, a dotični rashodi čine </w:t>
      </w:r>
      <w:r w:rsidR="00972C4A" w:rsidRPr="001063FB">
        <w:rPr>
          <w:rFonts w:ascii="Times New Roman" w:hAnsi="Times New Roman"/>
          <w:bCs/>
          <w:sz w:val="24"/>
          <w:szCs w:val="24"/>
        </w:rPr>
        <w:t>84,73</w:t>
      </w:r>
      <w:r w:rsidRPr="001063FB">
        <w:rPr>
          <w:rFonts w:ascii="Times New Roman" w:hAnsi="Times New Roman"/>
          <w:bCs/>
          <w:sz w:val="24"/>
          <w:szCs w:val="24"/>
        </w:rPr>
        <w:t>% ukupnih rashoda poslovanja.</w:t>
      </w:r>
    </w:p>
    <w:p w:rsidR="009E4788" w:rsidRPr="005E7E6C" w:rsidRDefault="00334EB6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AU"/>
        </w:rPr>
      </w:pPr>
      <w:r w:rsidRPr="003B587F">
        <w:rPr>
          <w:rFonts w:ascii="Times New Roman" w:hAnsi="Times New Roman"/>
          <w:bCs/>
          <w:sz w:val="24"/>
          <w:szCs w:val="24"/>
        </w:rPr>
        <w:t>Najveća odstupanja</w:t>
      </w:r>
      <w:r w:rsidR="009E4788" w:rsidRPr="003B587F">
        <w:rPr>
          <w:rFonts w:ascii="Times New Roman" w:hAnsi="Times New Roman"/>
          <w:bCs/>
          <w:sz w:val="24"/>
          <w:szCs w:val="24"/>
        </w:rPr>
        <w:t xml:space="preserve"> u okviru materijalnih rashoda poslovanja</w:t>
      </w:r>
      <w:r w:rsidRPr="003B587F">
        <w:rPr>
          <w:rFonts w:ascii="Times New Roman" w:hAnsi="Times New Roman"/>
          <w:bCs/>
          <w:sz w:val="24"/>
          <w:szCs w:val="24"/>
        </w:rPr>
        <w:t xml:space="preserve"> u odnosu na prošlu godinu</w:t>
      </w:r>
      <w:r w:rsidR="009E4788" w:rsidRPr="003B587F">
        <w:rPr>
          <w:rFonts w:ascii="Times New Roman" w:hAnsi="Times New Roman"/>
          <w:bCs/>
          <w:sz w:val="24"/>
          <w:szCs w:val="24"/>
        </w:rPr>
        <w:t xml:space="preserve"> čine rashodi za</w:t>
      </w:r>
      <w:r w:rsidR="00AE4B2C">
        <w:rPr>
          <w:rFonts w:ascii="Times New Roman" w:hAnsi="Times New Roman"/>
          <w:bCs/>
          <w:sz w:val="24"/>
          <w:szCs w:val="24"/>
        </w:rPr>
        <w:t>:</w:t>
      </w:r>
      <w:r w:rsidR="009E4788" w:rsidRPr="003B587F">
        <w:rPr>
          <w:rFonts w:ascii="Times New Roman" w:hAnsi="Times New Roman"/>
          <w:bCs/>
          <w:sz w:val="24"/>
          <w:szCs w:val="24"/>
        </w:rPr>
        <w:t xml:space="preserve"> </w:t>
      </w:r>
      <w:r w:rsidRPr="003B587F">
        <w:rPr>
          <w:rFonts w:ascii="Times New Roman" w:hAnsi="Times New Roman"/>
          <w:bCs/>
          <w:sz w:val="24"/>
          <w:szCs w:val="24"/>
        </w:rPr>
        <w:t>službena putovanja i stručno usavršavanje zaposlenika jer se povećao broj odlazaka na kongrese i konferencije radi stručnog usavršavanja,</w:t>
      </w:r>
      <w:r w:rsidR="003B587F" w:rsidRPr="003B587F">
        <w:rPr>
          <w:rFonts w:ascii="Arial" w:eastAsia="Times New Roman" w:hAnsi="Arial" w:cs="Arial"/>
          <w:sz w:val="20"/>
          <w:szCs w:val="20"/>
          <w:lang w:val="en-AU" w:eastAsia="hr-HR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uredski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materijal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i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ostali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materijalni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rashodi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–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značajno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odstupanje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u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odnosu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na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prošlu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godinu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radi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ukidanja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računa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iz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računskog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plana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3222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Materijali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i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sirovine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, </w:t>
      </w:r>
      <w:proofErr w:type="spellStart"/>
      <w:r w:rsidR="003B587F">
        <w:rPr>
          <w:rFonts w:ascii="Times New Roman" w:hAnsi="Times New Roman"/>
          <w:bCs/>
          <w:sz w:val="24"/>
          <w:szCs w:val="24"/>
          <w:lang w:val="en-AU"/>
        </w:rPr>
        <w:t>povećanje</w:t>
      </w:r>
      <w:proofErr w:type="spellEnd"/>
      <w:r w:rsid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rashoda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za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usluge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telefona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,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interneta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,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pošte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i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prijevoza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odnosi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se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na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trošak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distribucije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knjiž</w:t>
      </w:r>
      <w:r w:rsidR="005E7E6C">
        <w:rPr>
          <w:rFonts w:ascii="Times New Roman" w:hAnsi="Times New Roman"/>
          <w:bCs/>
          <w:sz w:val="24"/>
          <w:szCs w:val="24"/>
          <w:lang w:val="en-AU"/>
        </w:rPr>
        <w:t>ica</w:t>
      </w:r>
      <w:proofErr w:type="spellEnd"/>
      <w:r w:rsidR="005E7E6C">
        <w:rPr>
          <w:rFonts w:ascii="Times New Roman" w:hAnsi="Times New Roman"/>
          <w:bCs/>
          <w:sz w:val="24"/>
          <w:szCs w:val="24"/>
          <w:lang w:val="en-AU"/>
        </w:rPr>
        <w:t xml:space="preserve"> za </w:t>
      </w:r>
      <w:proofErr w:type="spellStart"/>
      <w:r w:rsidR="005E7E6C">
        <w:rPr>
          <w:rFonts w:ascii="Times New Roman" w:hAnsi="Times New Roman"/>
          <w:bCs/>
          <w:sz w:val="24"/>
          <w:szCs w:val="24"/>
          <w:lang w:val="en-AU"/>
        </w:rPr>
        <w:t>cjeloživotno</w:t>
      </w:r>
      <w:proofErr w:type="spellEnd"/>
      <w:r w:rsidR="005E7E6C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E7E6C">
        <w:rPr>
          <w:rFonts w:ascii="Times New Roman" w:hAnsi="Times New Roman"/>
          <w:bCs/>
          <w:sz w:val="24"/>
          <w:szCs w:val="24"/>
          <w:lang w:val="en-AU"/>
        </w:rPr>
        <w:t>obrazovanje</w:t>
      </w:r>
      <w:proofErr w:type="spellEnd"/>
      <w:r w:rsidR="005E7E6C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E7E6C">
        <w:rPr>
          <w:rFonts w:ascii="Times New Roman" w:hAnsi="Times New Roman"/>
          <w:bCs/>
          <w:sz w:val="24"/>
          <w:szCs w:val="24"/>
          <w:lang w:val="en-AU"/>
        </w:rPr>
        <w:t>i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organizirani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trošak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prijevoza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za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studentski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kongres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,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povećanje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rashoda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za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usluge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tekućeg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i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investicijskog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održavanja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odnosi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se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na</w:t>
      </w:r>
      <w:proofErr w:type="spellEnd"/>
      <w:r w:rsidRPr="003B587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na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troškove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tekućeg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održavanja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za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zidarske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popravke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i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molerske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radove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u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prostorijama</w:t>
      </w:r>
      <w:proofErr w:type="spellEnd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3B587F">
        <w:rPr>
          <w:rFonts w:ascii="Times New Roman" w:hAnsi="Times New Roman"/>
          <w:bCs/>
          <w:sz w:val="24"/>
          <w:szCs w:val="24"/>
          <w:lang w:val="en-AU"/>
        </w:rPr>
        <w:t>Fakulteta</w:t>
      </w:r>
      <w:proofErr w:type="spellEnd"/>
      <w:r w:rsidR="003B587F">
        <w:rPr>
          <w:rFonts w:ascii="Times New Roman" w:hAnsi="Times New Roman"/>
          <w:bCs/>
          <w:sz w:val="24"/>
          <w:szCs w:val="24"/>
        </w:rPr>
        <w:t xml:space="preserve">, </w:t>
      </w:r>
      <w:r w:rsidR="005E7E6C">
        <w:rPr>
          <w:rFonts w:ascii="Times New Roman" w:hAnsi="Times New Roman"/>
          <w:bCs/>
          <w:sz w:val="24"/>
          <w:szCs w:val="24"/>
        </w:rPr>
        <w:t xml:space="preserve">povećanje računalnih usluga odnosi se </w:t>
      </w:r>
      <w:r w:rsidR="005E7E6C" w:rsidRPr="005E7E6C">
        <w:rPr>
          <w:rFonts w:ascii="Times New Roman" w:hAnsi="Times New Roman"/>
          <w:bCs/>
          <w:sz w:val="24"/>
          <w:szCs w:val="24"/>
          <w:lang w:val="en-AU"/>
        </w:rPr>
        <w:t xml:space="preserve">za novo </w:t>
      </w:r>
      <w:proofErr w:type="spellStart"/>
      <w:r w:rsidR="005E7E6C" w:rsidRPr="005E7E6C">
        <w:rPr>
          <w:rFonts w:ascii="Times New Roman" w:hAnsi="Times New Roman"/>
          <w:bCs/>
          <w:sz w:val="24"/>
          <w:szCs w:val="24"/>
          <w:lang w:val="en-AU"/>
        </w:rPr>
        <w:t>ugovorenu</w:t>
      </w:r>
      <w:proofErr w:type="spellEnd"/>
      <w:r w:rsidR="005E7E6C" w:rsidRPr="005E7E6C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E7E6C" w:rsidRPr="005E7E6C">
        <w:rPr>
          <w:rFonts w:ascii="Times New Roman" w:hAnsi="Times New Roman"/>
          <w:bCs/>
          <w:sz w:val="24"/>
          <w:szCs w:val="24"/>
          <w:lang w:val="en-AU"/>
        </w:rPr>
        <w:t>uslugu</w:t>
      </w:r>
      <w:proofErr w:type="spellEnd"/>
      <w:r w:rsidR="005E7E6C" w:rsidRPr="005E7E6C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E7E6C" w:rsidRPr="005E7E6C">
        <w:rPr>
          <w:rFonts w:ascii="Times New Roman" w:hAnsi="Times New Roman"/>
          <w:bCs/>
          <w:sz w:val="24"/>
          <w:szCs w:val="24"/>
          <w:lang w:val="en-AU"/>
        </w:rPr>
        <w:t>korištenja</w:t>
      </w:r>
      <w:proofErr w:type="spellEnd"/>
      <w:r w:rsidR="005E7E6C" w:rsidRPr="005E7E6C">
        <w:rPr>
          <w:rFonts w:ascii="Times New Roman" w:hAnsi="Times New Roman"/>
          <w:bCs/>
          <w:sz w:val="24"/>
          <w:szCs w:val="24"/>
          <w:lang w:val="en-AU"/>
        </w:rPr>
        <w:t xml:space="preserve"> cloud </w:t>
      </w:r>
      <w:proofErr w:type="spellStart"/>
      <w:r w:rsidR="005E7E6C" w:rsidRPr="005E7E6C">
        <w:rPr>
          <w:rFonts w:ascii="Times New Roman" w:hAnsi="Times New Roman"/>
          <w:bCs/>
          <w:sz w:val="24"/>
          <w:szCs w:val="24"/>
          <w:lang w:val="en-AU"/>
        </w:rPr>
        <w:t>servera</w:t>
      </w:r>
      <w:proofErr w:type="spellEnd"/>
      <w:r w:rsidR="005E7E6C" w:rsidRPr="005E7E6C">
        <w:rPr>
          <w:rFonts w:ascii="Times New Roman" w:hAnsi="Times New Roman"/>
          <w:bCs/>
          <w:sz w:val="24"/>
          <w:szCs w:val="24"/>
          <w:lang w:val="en-AU"/>
        </w:rPr>
        <w:t xml:space="preserve">, </w:t>
      </w:r>
      <w:proofErr w:type="spellStart"/>
      <w:r w:rsidR="005E7E6C" w:rsidRPr="005E7E6C">
        <w:rPr>
          <w:rFonts w:ascii="Times New Roman" w:hAnsi="Times New Roman"/>
          <w:bCs/>
          <w:sz w:val="24"/>
          <w:szCs w:val="24"/>
          <w:lang w:val="en-AU"/>
        </w:rPr>
        <w:t>i</w:t>
      </w:r>
      <w:proofErr w:type="spellEnd"/>
      <w:r w:rsidR="005E7E6C" w:rsidRPr="005E7E6C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E7E6C" w:rsidRPr="005E7E6C">
        <w:rPr>
          <w:rFonts w:ascii="Times New Roman" w:hAnsi="Times New Roman"/>
          <w:bCs/>
          <w:sz w:val="24"/>
          <w:szCs w:val="24"/>
          <w:lang w:val="en-AU"/>
        </w:rPr>
        <w:t>održavanja</w:t>
      </w:r>
      <w:proofErr w:type="spellEnd"/>
      <w:r w:rsidR="005E7E6C" w:rsidRPr="005E7E6C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E7E6C" w:rsidRPr="005E7E6C">
        <w:rPr>
          <w:rFonts w:ascii="Times New Roman" w:hAnsi="Times New Roman"/>
          <w:bCs/>
          <w:sz w:val="24"/>
          <w:szCs w:val="24"/>
          <w:lang w:val="en-AU"/>
        </w:rPr>
        <w:t>novog</w:t>
      </w:r>
      <w:proofErr w:type="spellEnd"/>
      <w:r w:rsidR="005E7E6C" w:rsidRPr="005E7E6C">
        <w:rPr>
          <w:rFonts w:ascii="Times New Roman" w:hAnsi="Times New Roman"/>
          <w:bCs/>
          <w:sz w:val="24"/>
          <w:szCs w:val="24"/>
          <w:lang w:val="en-AU"/>
        </w:rPr>
        <w:t xml:space="preserve"> web </w:t>
      </w:r>
      <w:proofErr w:type="spellStart"/>
      <w:r w:rsidR="005E7E6C" w:rsidRPr="005E7E6C">
        <w:rPr>
          <w:rFonts w:ascii="Times New Roman" w:hAnsi="Times New Roman"/>
          <w:bCs/>
          <w:sz w:val="24"/>
          <w:szCs w:val="24"/>
          <w:lang w:val="en-AU"/>
        </w:rPr>
        <w:t>urudžbenog</w:t>
      </w:r>
      <w:proofErr w:type="spellEnd"/>
      <w:r w:rsidR="005E7E6C" w:rsidRPr="005E7E6C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E7E6C" w:rsidRPr="005E7E6C">
        <w:rPr>
          <w:rFonts w:ascii="Times New Roman" w:hAnsi="Times New Roman"/>
          <w:bCs/>
          <w:sz w:val="24"/>
          <w:szCs w:val="24"/>
          <w:lang w:val="en-AU"/>
        </w:rPr>
        <w:t>zapisnika</w:t>
      </w:r>
      <w:proofErr w:type="spellEnd"/>
      <w:r w:rsidR="005E7E6C" w:rsidRPr="005E7E6C">
        <w:rPr>
          <w:rFonts w:ascii="Times New Roman" w:hAnsi="Times New Roman"/>
          <w:bCs/>
          <w:sz w:val="24"/>
          <w:szCs w:val="24"/>
          <w:lang w:val="en-AU"/>
        </w:rPr>
        <w:t xml:space="preserve"> s </w:t>
      </w:r>
      <w:proofErr w:type="spellStart"/>
      <w:r w:rsidR="005E7E6C" w:rsidRPr="005E7E6C">
        <w:rPr>
          <w:rFonts w:ascii="Times New Roman" w:hAnsi="Times New Roman"/>
          <w:bCs/>
          <w:sz w:val="24"/>
          <w:szCs w:val="24"/>
          <w:lang w:val="en-AU"/>
        </w:rPr>
        <w:t>c</w:t>
      </w:r>
      <w:r w:rsidR="005E7E6C">
        <w:rPr>
          <w:rFonts w:ascii="Times New Roman" w:hAnsi="Times New Roman"/>
          <w:bCs/>
          <w:sz w:val="24"/>
          <w:szCs w:val="24"/>
          <w:lang w:val="en-AU"/>
        </w:rPr>
        <w:t>iljem</w:t>
      </w:r>
      <w:proofErr w:type="spellEnd"/>
      <w:r w:rsidR="005E7E6C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E7E6C">
        <w:rPr>
          <w:rFonts w:ascii="Times New Roman" w:hAnsi="Times New Roman"/>
          <w:bCs/>
          <w:sz w:val="24"/>
          <w:szCs w:val="24"/>
          <w:lang w:val="en-AU"/>
        </w:rPr>
        <w:t>digitalizacije</w:t>
      </w:r>
      <w:proofErr w:type="spellEnd"/>
      <w:r w:rsidR="005E7E6C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E7E6C">
        <w:rPr>
          <w:rFonts w:ascii="Times New Roman" w:hAnsi="Times New Roman"/>
          <w:bCs/>
          <w:sz w:val="24"/>
          <w:szCs w:val="24"/>
          <w:lang w:val="en-AU"/>
        </w:rPr>
        <w:t>poslovanja</w:t>
      </w:r>
      <w:proofErr w:type="spellEnd"/>
      <w:r w:rsidR="005E7E6C">
        <w:rPr>
          <w:rFonts w:ascii="Times New Roman" w:hAnsi="Times New Roman"/>
          <w:bCs/>
          <w:sz w:val="24"/>
          <w:szCs w:val="24"/>
          <w:lang w:val="en-AU"/>
        </w:rPr>
        <w:t xml:space="preserve">. </w:t>
      </w:r>
      <w:r w:rsidR="009E4788" w:rsidRPr="00334EB6">
        <w:rPr>
          <w:rFonts w:ascii="Times New Roman" w:hAnsi="Times New Roman"/>
          <w:bCs/>
          <w:sz w:val="24"/>
          <w:szCs w:val="24"/>
        </w:rPr>
        <w:t xml:space="preserve">Ostvarenje </w:t>
      </w:r>
      <w:r w:rsidR="00A641DA" w:rsidRPr="00334EB6">
        <w:rPr>
          <w:rFonts w:ascii="Times New Roman" w:hAnsi="Times New Roman"/>
          <w:bCs/>
          <w:sz w:val="24"/>
          <w:szCs w:val="24"/>
        </w:rPr>
        <w:t xml:space="preserve">ove skupine rashoda iznosi </w:t>
      </w:r>
      <w:r w:rsidRPr="00334EB6">
        <w:rPr>
          <w:rFonts w:ascii="Times New Roman" w:hAnsi="Times New Roman"/>
          <w:bCs/>
          <w:sz w:val="24"/>
          <w:szCs w:val="24"/>
        </w:rPr>
        <w:t>40,91</w:t>
      </w:r>
      <w:r w:rsidR="009E4788" w:rsidRPr="00334EB6">
        <w:rPr>
          <w:rFonts w:ascii="Times New Roman" w:hAnsi="Times New Roman"/>
          <w:bCs/>
          <w:sz w:val="24"/>
          <w:szCs w:val="24"/>
        </w:rPr>
        <w:t xml:space="preserve">% plana, </w:t>
      </w:r>
      <w:r w:rsidRPr="00334EB6">
        <w:rPr>
          <w:rFonts w:ascii="Times New Roman" w:hAnsi="Times New Roman"/>
          <w:bCs/>
          <w:sz w:val="24"/>
          <w:szCs w:val="24"/>
        </w:rPr>
        <w:t>a materijalni rashodi čine 15,13</w:t>
      </w:r>
      <w:r w:rsidR="009E4788" w:rsidRPr="00334EB6">
        <w:rPr>
          <w:rFonts w:ascii="Times New Roman" w:hAnsi="Times New Roman"/>
          <w:bCs/>
          <w:sz w:val="24"/>
          <w:szCs w:val="24"/>
        </w:rPr>
        <w:t>% rashoda poslovanja.</w:t>
      </w:r>
    </w:p>
    <w:p w:rsidR="009E4788" w:rsidRPr="005E7E6C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E7E6C">
        <w:rPr>
          <w:rFonts w:ascii="Times New Roman" w:hAnsi="Times New Roman"/>
          <w:bCs/>
          <w:sz w:val="24"/>
          <w:szCs w:val="24"/>
        </w:rPr>
        <w:t>Financijski rashodi odnose se na sve vrste kamata sukladno proračunskim propisima, te na usluge platnog prometa, usluge vođenja poslovnog računa sukladno ugovoru s poslovnom bankom, te na sve ostale bankarske usluge. Ovi rashodi financiraju se iz vlastitih prihoda,</w:t>
      </w:r>
      <w:r w:rsidR="00AB7EC6" w:rsidRPr="005E7E6C">
        <w:rPr>
          <w:rFonts w:ascii="Times New Roman" w:hAnsi="Times New Roman"/>
          <w:bCs/>
          <w:sz w:val="24"/>
          <w:szCs w:val="24"/>
        </w:rPr>
        <w:t xml:space="preserve"> </w:t>
      </w:r>
      <w:r w:rsidR="00996839" w:rsidRPr="005E7E6C">
        <w:rPr>
          <w:rFonts w:ascii="Times New Roman" w:hAnsi="Times New Roman"/>
          <w:bCs/>
          <w:sz w:val="24"/>
          <w:szCs w:val="24"/>
        </w:rPr>
        <w:t xml:space="preserve">te </w:t>
      </w:r>
      <w:r w:rsidR="00AB7EC6" w:rsidRPr="005E7E6C">
        <w:rPr>
          <w:rFonts w:ascii="Times New Roman" w:hAnsi="Times New Roman"/>
          <w:bCs/>
          <w:sz w:val="24"/>
          <w:szCs w:val="24"/>
        </w:rPr>
        <w:t>djelomice iz proračuna</w:t>
      </w:r>
      <w:r w:rsidR="0022141D" w:rsidRPr="005E7E6C">
        <w:rPr>
          <w:rFonts w:ascii="Times New Roman" w:hAnsi="Times New Roman"/>
          <w:bCs/>
          <w:sz w:val="24"/>
          <w:szCs w:val="24"/>
        </w:rPr>
        <w:t>,</w:t>
      </w:r>
      <w:r w:rsidRPr="005E7E6C">
        <w:rPr>
          <w:rFonts w:ascii="Times New Roman" w:hAnsi="Times New Roman"/>
          <w:bCs/>
          <w:sz w:val="24"/>
          <w:szCs w:val="24"/>
        </w:rPr>
        <w:t xml:space="preserve"> a ostvarenj</w:t>
      </w:r>
      <w:r w:rsidR="005E7E6C" w:rsidRPr="005E7E6C">
        <w:rPr>
          <w:rFonts w:ascii="Times New Roman" w:hAnsi="Times New Roman"/>
          <w:bCs/>
          <w:sz w:val="24"/>
          <w:szCs w:val="24"/>
        </w:rPr>
        <w:t>e plana za prvo polugodište 2025</w:t>
      </w:r>
      <w:r w:rsidRPr="005E7E6C">
        <w:rPr>
          <w:rFonts w:ascii="Times New Roman" w:hAnsi="Times New Roman"/>
          <w:bCs/>
          <w:sz w:val="24"/>
          <w:szCs w:val="24"/>
        </w:rPr>
        <w:t xml:space="preserve">. godine iznosi </w:t>
      </w:r>
      <w:r w:rsidR="005E7E6C" w:rsidRPr="005E7E6C">
        <w:rPr>
          <w:rFonts w:ascii="Times New Roman" w:hAnsi="Times New Roman"/>
          <w:bCs/>
          <w:sz w:val="24"/>
          <w:szCs w:val="24"/>
        </w:rPr>
        <w:t>53,46</w:t>
      </w:r>
      <w:r w:rsidRPr="005E7E6C">
        <w:rPr>
          <w:rFonts w:ascii="Times New Roman" w:hAnsi="Times New Roman"/>
          <w:bCs/>
          <w:sz w:val="24"/>
          <w:szCs w:val="24"/>
        </w:rPr>
        <w:t>%</w:t>
      </w:r>
      <w:r w:rsidR="005E7E6C" w:rsidRPr="005E7E6C">
        <w:rPr>
          <w:rFonts w:ascii="Times New Roman" w:hAnsi="Times New Roman"/>
          <w:bCs/>
          <w:sz w:val="24"/>
          <w:szCs w:val="24"/>
        </w:rPr>
        <w:t>, dok 0,05</w:t>
      </w:r>
      <w:r w:rsidR="00FC05A9" w:rsidRPr="005E7E6C">
        <w:rPr>
          <w:rFonts w:ascii="Times New Roman" w:hAnsi="Times New Roman"/>
          <w:bCs/>
          <w:sz w:val="24"/>
          <w:szCs w:val="24"/>
        </w:rPr>
        <w:t xml:space="preserve"> % čini ukupne rashode poslovanja</w:t>
      </w:r>
      <w:r w:rsidRPr="005E7E6C">
        <w:rPr>
          <w:rFonts w:ascii="Times New Roman" w:hAnsi="Times New Roman"/>
          <w:bCs/>
          <w:sz w:val="24"/>
          <w:szCs w:val="24"/>
        </w:rPr>
        <w:t xml:space="preserve">. Realizacija ovih rashoda </w:t>
      </w:r>
      <w:r w:rsidR="00A641DA" w:rsidRPr="005E7E6C">
        <w:rPr>
          <w:rFonts w:ascii="Times New Roman" w:hAnsi="Times New Roman"/>
          <w:bCs/>
          <w:sz w:val="24"/>
          <w:szCs w:val="24"/>
        </w:rPr>
        <w:t>odnosi se na troškove za provedbu bankovnih transakcija u inozemstvo, negativne tečajne razlike</w:t>
      </w:r>
      <w:r w:rsidR="005E7E6C" w:rsidRPr="005E7E6C">
        <w:rPr>
          <w:rFonts w:ascii="Times New Roman" w:hAnsi="Times New Roman"/>
          <w:bCs/>
          <w:sz w:val="24"/>
          <w:szCs w:val="24"/>
        </w:rPr>
        <w:t xml:space="preserve"> i</w:t>
      </w:r>
      <w:r w:rsidRPr="005E7E6C">
        <w:rPr>
          <w:rFonts w:ascii="Times New Roman" w:hAnsi="Times New Roman"/>
          <w:bCs/>
          <w:sz w:val="24"/>
          <w:szCs w:val="24"/>
        </w:rPr>
        <w:t xml:space="preserve"> usluge platnog prometa</w:t>
      </w:r>
      <w:r w:rsidR="006D5E5B">
        <w:rPr>
          <w:rFonts w:ascii="Times New Roman" w:hAnsi="Times New Roman"/>
          <w:bCs/>
          <w:sz w:val="24"/>
          <w:szCs w:val="24"/>
        </w:rPr>
        <w:t xml:space="preserve">, </w:t>
      </w:r>
      <w:r w:rsidR="005E7E6C" w:rsidRPr="005E7E6C">
        <w:rPr>
          <w:rFonts w:ascii="Times New Roman" w:hAnsi="Times New Roman"/>
          <w:bCs/>
          <w:sz w:val="24"/>
          <w:szCs w:val="24"/>
        </w:rPr>
        <w:t>u odnosu na prošlu godinu nema</w:t>
      </w:r>
      <w:r w:rsidR="00FC05A9" w:rsidRPr="005E7E6C">
        <w:rPr>
          <w:rFonts w:ascii="Times New Roman" w:hAnsi="Times New Roman"/>
          <w:bCs/>
          <w:sz w:val="24"/>
          <w:szCs w:val="24"/>
        </w:rPr>
        <w:t xml:space="preserve"> </w:t>
      </w:r>
      <w:r w:rsidR="005E7E6C" w:rsidRPr="005E7E6C">
        <w:rPr>
          <w:rFonts w:ascii="Times New Roman" w:hAnsi="Times New Roman"/>
          <w:bCs/>
          <w:sz w:val="24"/>
          <w:szCs w:val="24"/>
        </w:rPr>
        <w:lastRenderedPageBreak/>
        <w:t>zateznih kamata</w:t>
      </w:r>
      <w:r w:rsidR="00FC05A9" w:rsidRPr="005E7E6C">
        <w:rPr>
          <w:rFonts w:ascii="Times New Roman" w:hAnsi="Times New Roman"/>
          <w:bCs/>
          <w:sz w:val="24"/>
          <w:szCs w:val="24"/>
        </w:rPr>
        <w:t xml:space="preserve"> koje </w:t>
      </w:r>
      <w:r w:rsidR="005E7E6C" w:rsidRPr="005E7E6C">
        <w:rPr>
          <w:rFonts w:ascii="Times New Roman" w:hAnsi="Times New Roman"/>
          <w:bCs/>
          <w:sz w:val="24"/>
          <w:szCs w:val="24"/>
        </w:rPr>
        <w:t>su se odnosile</w:t>
      </w:r>
      <w:r w:rsidR="00FC05A9" w:rsidRPr="005E7E6C">
        <w:rPr>
          <w:rFonts w:ascii="Times New Roman" w:hAnsi="Times New Roman"/>
          <w:bCs/>
          <w:sz w:val="24"/>
          <w:szCs w:val="24"/>
        </w:rPr>
        <w:t xml:space="preserve"> na isplate razlike plaće u visini 6% na temelju pravomoćnih sudskih presuda u javnim službama.</w:t>
      </w:r>
      <w:r w:rsidR="00996839" w:rsidRPr="005E7E6C">
        <w:rPr>
          <w:rFonts w:ascii="Times New Roman" w:hAnsi="Times New Roman"/>
          <w:bCs/>
          <w:sz w:val="24"/>
          <w:szCs w:val="24"/>
        </w:rPr>
        <w:t xml:space="preserve"> </w:t>
      </w:r>
    </w:p>
    <w:p w:rsidR="009E4788" w:rsidRPr="005E7E6C" w:rsidRDefault="00A641DA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E7E6C">
        <w:rPr>
          <w:rFonts w:ascii="Times New Roman" w:hAnsi="Times New Roman"/>
          <w:bCs/>
          <w:sz w:val="24"/>
          <w:szCs w:val="24"/>
        </w:rPr>
        <w:t xml:space="preserve">Naknade građanima i kućanstvima odnose se na rashode za nagrade studentima za izvrsnost na studiju Dentalne medicine na hrvatskom i engleskom jeziku. </w:t>
      </w:r>
      <w:r w:rsidR="00FC05A9" w:rsidRPr="005E7E6C">
        <w:rPr>
          <w:rFonts w:ascii="Times New Roman" w:hAnsi="Times New Roman"/>
          <w:bCs/>
          <w:sz w:val="24"/>
          <w:szCs w:val="24"/>
        </w:rPr>
        <w:t>Izvršenje je veće u odnosu na financijski plan jer sm</w:t>
      </w:r>
      <w:r w:rsidR="005E7E6C" w:rsidRPr="005E7E6C">
        <w:rPr>
          <w:rFonts w:ascii="Times New Roman" w:hAnsi="Times New Roman"/>
          <w:bCs/>
          <w:sz w:val="24"/>
          <w:szCs w:val="24"/>
        </w:rPr>
        <w:t>o ove godine isplatili veći iznos</w:t>
      </w:r>
      <w:r w:rsidR="00FC05A9" w:rsidRPr="005E7E6C">
        <w:rPr>
          <w:rFonts w:ascii="Times New Roman" w:hAnsi="Times New Roman"/>
          <w:bCs/>
          <w:sz w:val="24"/>
          <w:szCs w:val="24"/>
        </w:rPr>
        <w:t xml:space="preserve"> </w:t>
      </w:r>
      <w:r w:rsidR="005E7E6C" w:rsidRPr="005E7E6C">
        <w:rPr>
          <w:rFonts w:ascii="Times New Roman" w:hAnsi="Times New Roman"/>
          <w:bCs/>
          <w:sz w:val="24"/>
          <w:szCs w:val="24"/>
        </w:rPr>
        <w:t xml:space="preserve">za </w:t>
      </w:r>
      <w:r w:rsidR="00FC05A9" w:rsidRPr="005E7E6C">
        <w:rPr>
          <w:rFonts w:ascii="Times New Roman" w:hAnsi="Times New Roman"/>
          <w:bCs/>
          <w:sz w:val="24"/>
          <w:szCs w:val="24"/>
        </w:rPr>
        <w:t>studen</w:t>
      </w:r>
      <w:r w:rsidR="005E7E6C" w:rsidRPr="005E7E6C">
        <w:rPr>
          <w:rFonts w:ascii="Times New Roman" w:hAnsi="Times New Roman"/>
          <w:bCs/>
          <w:sz w:val="24"/>
          <w:szCs w:val="24"/>
        </w:rPr>
        <w:t>tske nagrade u odnosu na ranije</w:t>
      </w:r>
      <w:r w:rsidR="00C22790">
        <w:rPr>
          <w:rFonts w:ascii="Times New Roman" w:hAnsi="Times New Roman"/>
          <w:bCs/>
          <w:sz w:val="24"/>
          <w:szCs w:val="24"/>
        </w:rPr>
        <w:t xml:space="preserve"> godine</w:t>
      </w:r>
      <w:r w:rsidR="00FC05A9" w:rsidRPr="005E7E6C">
        <w:rPr>
          <w:rFonts w:ascii="Times New Roman" w:hAnsi="Times New Roman"/>
          <w:bCs/>
          <w:sz w:val="24"/>
          <w:szCs w:val="24"/>
        </w:rPr>
        <w:t xml:space="preserve">. Ostvarenje ove skupine rashoda iznosi </w:t>
      </w:r>
      <w:r w:rsidR="005E7E6C" w:rsidRPr="005E7E6C">
        <w:rPr>
          <w:rFonts w:ascii="Times New Roman" w:hAnsi="Times New Roman"/>
          <w:bCs/>
          <w:sz w:val="24"/>
          <w:szCs w:val="24"/>
        </w:rPr>
        <w:t>138,7</w:t>
      </w:r>
      <w:r w:rsidR="00E5379B" w:rsidRPr="005E7E6C">
        <w:rPr>
          <w:rFonts w:ascii="Times New Roman" w:hAnsi="Times New Roman"/>
          <w:bCs/>
          <w:sz w:val="24"/>
          <w:szCs w:val="24"/>
        </w:rPr>
        <w:t>0</w:t>
      </w:r>
      <w:r w:rsidR="00FC05A9" w:rsidRPr="005E7E6C">
        <w:rPr>
          <w:rFonts w:ascii="Times New Roman" w:hAnsi="Times New Roman"/>
          <w:bCs/>
          <w:sz w:val="24"/>
          <w:szCs w:val="24"/>
        </w:rPr>
        <w:t xml:space="preserve">% plana, a </w:t>
      </w:r>
      <w:r w:rsidR="00E5379B" w:rsidRPr="005E7E6C">
        <w:rPr>
          <w:rFonts w:ascii="Times New Roman" w:hAnsi="Times New Roman"/>
          <w:bCs/>
          <w:sz w:val="24"/>
          <w:szCs w:val="24"/>
        </w:rPr>
        <w:t xml:space="preserve">naknade građanima i kućanstvima </w:t>
      </w:r>
      <w:r w:rsidR="00FC05A9" w:rsidRPr="005E7E6C">
        <w:rPr>
          <w:rFonts w:ascii="Times New Roman" w:hAnsi="Times New Roman"/>
          <w:bCs/>
          <w:sz w:val="24"/>
          <w:szCs w:val="24"/>
        </w:rPr>
        <w:t xml:space="preserve">čine </w:t>
      </w:r>
      <w:r w:rsidR="005E7E6C" w:rsidRPr="005E7E6C">
        <w:rPr>
          <w:rFonts w:ascii="Times New Roman" w:hAnsi="Times New Roman"/>
          <w:bCs/>
          <w:sz w:val="24"/>
          <w:szCs w:val="24"/>
        </w:rPr>
        <w:t>0,09</w:t>
      </w:r>
      <w:r w:rsidR="00FC05A9" w:rsidRPr="005E7E6C">
        <w:rPr>
          <w:rFonts w:ascii="Times New Roman" w:hAnsi="Times New Roman"/>
          <w:bCs/>
          <w:sz w:val="24"/>
          <w:szCs w:val="24"/>
        </w:rPr>
        <w:t>% rashoda poslovanja.</w:t>
      </w:r>
    </w:p>
    <w:p w:rsidR="009E4788" w:rsidRPr="002236BB" w:rsidRDefault="009E4788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236BB">
        <w:rPr>
          <w:rFonts w:ascii="Times New Roman" w:hAnsi="Times New Roman"/>
          <w:bCs/>
          <w:sz w:val="24"/>
          <w:szCs w:val="24"/>
          <w:u w:val="single"/>
        </w:rPr>
        <w:t>Rashodi za nabavu nefinancijske imovine</w:t>
      </w:r>
      <w:r w:rsidRPr="002236BB">
        <w:rPr>
          <w:rFonts w:ascii="Times New Roman" w:hAnsi="Times New Roman"/>
          <w:bCs/>
          <w:sz w:val="24"/>
          <w:szCs w:val="24"/>
        </w:rPr>
        <w:t xml:space="preserve"> planir</w:t>
      </w:r>
      <w:r w:rsidR="005E7E6C" w:rsidRPr="002236BB">
        <w:rPr>
          <w:rFonts w:ascii="Times New Roman" w:hAnsi="Times New Roman"/>
          <w:bCs/>
          <w:sz w:val="24"/>
          <w:szCs w:val="24"/>
        </w:rPr>
        <w:t>ani za 2025</w:t>
      </w:r>
      <w:r w:rsidR="002154C7" w:rsidRPr="002236BB">
        <w:rPr>
          <w:rFonts w:ascii="Times New Roman" w:hAnsi="Times New Roman"/>
          <w:bCs/>
          <w:sz w:val="24"/>
          <w:szCs w:val="24"/>
        </w:rPr>
        <w:t xml:space="preserve">. godinu u iznosu </w:t>
      </w:r>
      <w:r w:rsidR="005E7E6C" w:rsidRPr="002236BB">
        <w:rPr>
          <w:rFonts w:ascii="Times New Roman" w:hAnsi="Times New Roman"/>
          <w:bCs/>
          <w:sz w:val="24"/>
          <w:szCs w:val="24"/>
        </w:rPr>
        <w:t>401.125</w:t>
      </w:r>
      <w:r w:rsidRPr="002236BB">
        <w:rPr>
          <w:rFonts w:ascii="Times New Roman" w:hAnsi="Times New Roman"/>
          <w:bCs/>
          <w:sz w:val="24"/>
          <w:szCs w:val="24"/>
        </w:rPr>
        <w:t xml:space="preserve">,00 </w:t>
      </w:r>
      <w:r w:rsidR="00416000" w:rsidRPr="002236BB">
        <w:rPr>
          <w:rFonts w:ascii="Times New Roman" w:hAnsi="Times New Roman"/>
          <w:bCs/>
          <w:sz w:val="24"/>
          <w:szCs w:val="24"/>
        </w:rPr>
        <w:t>eura</w:t>
      </w:r>
      <w:r w:rsidR="008F2F06" w:rsidRPr="002236BB">
        <w:rPr>
          <w:rFonts w:ascii="Times New Roman" w:hAnsi="Times New Roman"/>
          <w:bCs/>
          <w:sz w:val="24"/>
          <w:szCs w:val="24"/>
        </w:rPr>
        <w:t xml:space="preserve">, a ostvareni su u iznosu </w:t>
      </w:r>
      <w:r w:rsidR="002236BB" w:rsidRPr="002236BB">
        <w:rPr>
          <w:rFonts w:ascii="Times New Roman" w:hAnsi="Times New Roman"/>
          <w:bCs/>
          <w:sz w:val="24"/>
          <w:szCs w:val="24"/>
        </w:rPr>
        <w:t>61.230,76</w:t>
      </w:r>
      <w:r w:rsidR="005D6CF4" w:rsidRPr="002236BB">
        <w:rPr>
          <w:rFonts w:ascii="Times New Roman" w:hAnsi="Times New Roman"/>
          <w:bCs/>
          <w:sz w:val="24"/>
          <w:szCs w:val="24"/>
        </w:rPr>
        <w:t xml:space="preserve"> </w:t>
      </w:r>
      <w:r w:rsidR="00416000" w:rsidRPr="002236BB">
        <w:rPr>
          <w:rFonts w:ascii="Times New Roman" w:hAnsi="Times New Roman"/>
          <w:bCs/>
          <w:sz w:val="24"/>
          <w:szCs w:val="24"/>
        </w:rPr>
        <w:t>eura</w:t>
      </w:r>
      <w:r w:rsidR="002236BB" w:rsidRPr="002236BB">
        <w:rPr>
          <w:rFonts w:ascii="Times New Roman" w:hAnsi="Times New Roman"/>
          <w:bCs/>
          <w:sz w:val="24"/>
          <w:szCs w:val="24"/>
        </w:rPr>
        <w:t>, što je 15,26</w:t>
      </w:r>
      <w:r w:rsidRPr="002236BB">
        <w:rPr>
          <w:rFonts w:ascii="Times New Roman" w:hAnsi="Times New Roman"/>
          <w:bCs/>
          <w:sz w:val="24"/>
          <w:szCs w:val="24"/>
        </w:rPr>
        <w:t>% plana.</w:t>
      </w:r>
      <w:r w:rsidR="00152DF9" w:rsidRPr="002236BB">
        <w:rPr>
          <w:rFonts w:ascii="Times New Roman" w:hAnsi="Times New Roman"/>
          <w:bCs/>
          <w:sz w:val="24"/>
          <w:szCs w:val="24"/>
        </w:rPr>
        <w:t xml:space="preserve"> </w:t>
      </w:r>
      <w:r w:rsidRPr="002236BB">
        <w:rPr>
          <w:rFonts w:ascii="Times New Roman" w:hAnsi="Times New Roman"/>
          <w:bCs/>
          <w:sz w:val="24"/>
          <w:szCs w:val="24"/>
        </w:rPr>
        <w:t>Planirana sredstva za nabavu</w:t>
      </w:r>
      <w:r w:rsidR="00974C80" w:rsidRPr="002236BB">
        <w:rPr>
          <w:rFonts w:ascii="Times New Roman" w:hAnsi="Times New Roman"/>
          <w:bCs/>
          <w:sz w:val="24"/>
          <w:szCs w:val="24"/>
        </w:rPr>
        <w:t xml:space="preserve"> proizvedene dugotrajne imovine</w:t>
      </w:r>
      <w:r w:rsidRPr="002236BB">
        <w:rPr>
          <w:rFonts w:ascii="Times New Roman" w:hAnsi="Times New Roman"/>
          <w:bCs/>
          <w:sz w:val="24"/>
          <w:szCs w:val="24"/>
        </w:rPr>
        <w:t xml:space="preserve"> namijenjena su za</w:t>
      </w:r>
      <w:r w:rsidR="003659E6" w:rsidRPr="002236BB">
        <w:rPr>
          <w:rFonts w:ascii="Times New Roman" w:hAnsi="Times New Roman"/>
          <w:bCs/>
          <w:sz w:val="24"/>
          <w:szCs w:val="24"/>
        </w:rPr>
        <w:t>:</w:t>
      </w:r>
      <w:r w:rsidR="001B3C91" w:rsidRPr="002236BB">
        <w:rPr>
          <w:rFonts w:ascii="Times New Roman" w:hAnsi="Times New Roman"/>
          <w:bCs/>
          <w:sz w:val="24"/>
          <w:szCs w:val="24"/>
        </w:rPr>
        <w:t xml:space="preserve"> </w:t>
      </w:r>
      <w:r w:rsidR="00124B9E" w:rsidRPr="009B23AD">
        <w:rPr>
          <w:rFonts w:ascii="Times New Roman" w:hAnsi="Times New Roman"/>
          <w:bCs/>
          <w:sz w:val="24"/>
          <w:szCs w:val="24"/>
        </w:rPr>
        <w:t>nabavu istraživačkog mikroskopa FTIR</w:t>
      </w:r>
      <w:r w:rsidR="005C0CBB" w:rsidRPr="009B23AD">
        <w:rPr>
          <w:rFonts w:ascii="Times New Roman" w:hAnsi="Times New Roman"/>
          <w:bCs/>
          <w:sz w:val="24"/>
          <w:szCs w:val="24"/>
        </w:rPr>
        <w:t xml:space="preserve"> </w:t>
      </w:r>
      <w:r w:rsidR="00974C80" w:rsidRPr="009B23AD">
        <w:rPr>
          <w:rFonts w:ascii="Times New Roman" w:hAnsi="Times New Roman"/>
          <w:bCs/>
          <w:sz w:val="24"/>
          <w:szCs w:val="24"/>
        </w:rPr>
        <w:t>od sredstava Hrvatske zaklade za znanost u okviru znanstveno is</w:t>
      </w:r>
      <w:r w:rsidR="005C0CBB" w:rsidRPr="009B23AD">
        <w:rPr>
          <w:rFonts w:ascii="Times New Roman" w:hAnsi="Times New Roman"/>
          <w:bCs/>
          <w:sz w:val="24"/>
          <w:szCs w:val="24"/>
        </w:rPr>
        <w:t>traživačkog projekta</w:t>
      </w:r>
      <w:r w:rsidR="00124B9E" w:rsidRPr="009B23AD">
        <w:rPr>
          <w:rFonts w:ascii="Times New Roman" w:hAnsi="Times New Roman"/>
          <w:bCs/>
          <w:sz w:val="24"/>
          <w:szCs w:val="24"/>
        </w:rPr>
        <w:t xml:space="preserve"> prema provedenom postupku javne nabave</w:t>
      </w:r>
      <w:r w:rsidR="005C0CBB" w:rsidRPr="009B23AD">
        <w:rPr>
          <w:rFonts w:ascii="Times New Roman" w:hAnsi="Times New Roman"/>
          <w:bCs/>
          <w:sz w:val="24"/>
          <w:szCs w:val="24"/>
        </w:rPr>
        <w:t>,</w:t>
      </w:r>
      <w:r w:rsidR="00974C80" w:rsidRPr="009B23AD">
        <w:rPr>
          <w:rFonts w:ascii="Times New Roman" w:hAnsi="Times New Roman"/>
          <w:bCs/>
          <w:sz w:val="24"/>
          <w:szCs w:val="24"/>
        </w:rPr>
        <w:t xml:space="preserve"> ulaganja u </w:t>
      </w:r>
      <w:r w:rsidR="003659E6" w:rsidRPr="009B23AD">
        <w:rPr>
          <w:rFonts w:ascii="Times New Roman" w:hAnsi="Times New Roman"/>
          <w:bCs/>
          <w:sz w:val="24"/>
          <w:szCs w:val="24"/>
        </w:rPr>
        <w:t>računalne programe za uredsko poslovanje, kadrovsku evidenciju i knjigovodstvo</w:t>
      </w:r>
      <w:r w:rsidR="003659E6" w:rsidRPr="002236BB">
        <w:rPr>
          <w:rFonts w:ascii="Times New Roman" w:hAnsi="Times New Roman"/>
          <w:bCs/>
          <w:sz w:val="24"/>
          <w:szCs w:val="24"/>
        </w:rPr>
        <w:t xml:space="preserve">, </w:t>
      </w:r>
      <w:r w:rsidRPr="002236BB">
        <w:rPr>
          <w:rFonts w:ascii="Times New Roman" w:hAnsi="Times New Roman"/>
          <w:bCs/>
          <w:sz w:val="24"/>
          <w:szCs w:val="24"/>
        </w:rPr>
        <w:t>po</w:t>
      </w:r>
      <w:r w:rsidR="001E5C18" w:rsidRPr="002236BB">
        <w:rPr>
          <w:rFonts w:ascii="Times New Roman" w:hAnsi="Times New Roman"/>
          <w:bCs/>
          <w:sz w:val="24"/>
          <w:szCs w:val="24"/>
        </w:rPr>
        <w:t>trebe redovne djelatnosti Fakulteta</w:t>
      </w:r>
      <w:r w:rsidRPr="002236BB">
        <w:rPr>
          <w:rFonts w:ascii="Times New Roman" w:hAnsi="Times New Roman"/>
          <w:bCs/>
          <w:sz w:val="24"/>
          <w:szCs w:val="24"/>
        </w:rPr>
        <w:t xml:space="preserve"> prema prioritetima tekućeg poslovanja</w:t>
      </w:r>
      <w:r w:rsidR="001E5C18" w:rsidRPr="002236BB">
        <w:rPr>
          <w:rFonts w:ascii="Times New Roman" w:hAnsi="Times New Roman"/>
          <w:bCs/>
          <w:sz w:val="24"/>
          <w:szCs w:val="24"/>
        </w:rPr>
        <w:t xml:space="preserve"> te</w:t>
      </w:r>
      <w:r w:rsidRPr="002236BB">
        <w:rPr>
          <w:rFonts w:ascii="Times New Roman" w:hAnsi="Times New Roman"/>
          <w:bCs/>
          <w:sz w:val="24"/>
          <w:szCs w:val="24"/>
        </w:rPr>
        <w:t xml:space="preserve"> za potrebe obavljanja određenih razvojnih aktivnosti</w:t>
      </w:r>
      <w:r w:rsidR="001E5C18" w:rsidRPr="002236BB">
        <w:rPr>
          <w:rFonts w:ascii="Times New Roman" w:hAnsi="Times New Roman"/>
          <w:bCs/>
          <w:sz w:val="24"/>
          <w:szCs w:val="24"/>
        </w:rPr>
        <w:t>.</w:t>
      </w:r>
      <w:r w:rsidRPr="002236BB">
        <w:rPr>
          <w:rFonts w:ascii="Times New Roman" w:hAnsi="Times New Roman"/>
          <w:bCs/>
          <w:sz w:val="24"/>
          <w:szCs w:val="24"/>
        </w:rPr>
        <w:t xml:space="preserve"> Daljnje izvršenje ovi</w:t>
      </w:r>
      <w:r w:rsidR="001B3C91" w:rsidRPr="002236BB">
        <w:rPr>
          <w:rFonts w:ascii="Times New Roman" w:hAnsi="Times New Roman"/>
          <w:bCs/>
          <w:sz w:val="24"/>
          <w:szCs w:val="24"/>
        </w:rPr>
        <w:t xml:space="preserve">h rashoda </w:t>
      </w:r>
      <w:r w:rsidR="002236BB" w:rsidRPr="002236BB">
        <w:rPr>
          <w:rFonts w:ascii="Times New Roman" w:hAnsi="Times New Roman"/>
          <w:bCs/>
          <w:sz w:val="24"/>
          <w:szCs w:val="24"/>
        </w:rPr>
        <w:t>u drugoj polovici 2025</w:t>
      </w:r>
      <w:r w:rsidRPr="002236BB">
        <w:rPr>
          <w:rFonts w:ascii="Times New Roman" w:hAnsi="Times New Roman"/>
          <w:bCs/>
          <w:sz w:val="24"/>
          <w:szCs w:val="24"/>
        </w:rPr>
        <w:t>. godine realizirat će se sukladno navedenim potreba</w:t>
      </w:r>
      <w:r w:rsidR="008F2F06" w:rsidRPr="002236BB">
        <w:rPr>
          <w:rFonts w:ascii="Times New Roman" w:hAnsi="Times New Roman"/>
          <w:bCs/>
          <w:sz w:val="24"/>
          <w:szCs w:val="24"/>
        </w:rPr>
        <w:t>ma i njihovoj dinamici provedbe.</w:t>
      </w:r>
    </w:p>
    <w:p w:rsidR="009E4788" w:rsidRDefault="009E4788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C38BB" w:rsidRPr="00906F2B" w:rsidRDefault="000C38BB" w:rsidP="0082637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6F2B">
        <w:rPr>
          <w:rFonts w:ascii="Times New Roman" w:hAnsi="Times New Roman"/>
          <w:b/>
          <w:sz w:val="24"/>
          <w:szCs w:val="24"/>
        </w:rPr>
        <w:t>P</w:t>
      </w:r>
      <w:r w:rsidR="00AE4B2C">
        <w:rPr>
          <w:rFonts w:ascii="Times New Roman" w:hAnsi="Times New Roman"/>
          <w:b/>
          <w:sz w:val="24"/>
          <w:szCs w:val="24"/>
        </w:rPr>
        <w:t>RIJENOS SREDSTAVA IZ PRETHODNE</w:t>
      </w:r>
      <w:r w:rsidR="00942C4A" w:rsidRPr="00906F2B">
        <w:rPr>
          <w:rFonts w:ascii="Times New Roman" w:hAnsi="Times New Roman"/>
          <w:b/>
          <w:sz w:val="24"/>
          <w:szCs w:val="24"/>
        </w:rPr>
        <w:t xml:space="preserve"> U SL</w:t>
      </w:r>
      <w:r w:rsidRPr="00906F2B">
        <w:rPr>
          <w:rFonts w:ascii="Times New Roman" w:hAnsi="Times New Roman"/>
          <w:b/>
          <w:sz w:val="24"/>
          <w:szCs w:val="24"/>
        </w:rPr>
        <w:t>JEDEĆU GODINU</w:t>
      </w:r>
    </w:p>
    <w:p w:rsidR="000A12F6" w:rsidRPr="003F4018" w:rsidRDefault="00295B22" w:rsidP="00810F3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055CC">
        <w:rPr>
          <w:rFonts w:ascii="Times New Roman" w:hAnsi="Times New Roman"/>
          <w:bCs/>
          <w:sz w:val="24"/>
          <w:szCs w:val="24"/>
        </w:rPr>
        <w:t>Preneseni višak prihoda u 202</w:t>
      </w:r>
      <w:r w:rsidR="00906F2B">
        <w:rPr>
          <w:rFonts w:ascii="Times New Roman" w:hAnsi="Times New Roman"/>
          <w:bCs/>
          <w:sz w:val="24"/>
          <w:szCs w:val="24"/>
        </w:rPr>
        <w:t>5</w:t>
      </w:r>
      <w:r w:rsidR="00810F3A" w:rsidRPr="004055CC">
        <w:rPr>
          <w:rFonts w:ascii="Times New Roman" w:hAnsi="Times New Roman"/>
          <w:bCs/>
          <w:sz w:val="24"/>
          <w:szCs w:val="24"/>
        </w:rPr>
        <w:t xml:space="preserve">. godinu iznosi </w:t>
      </w:r>
      <w:r w:rsidR="00CC03AB">
        <w:rPr>
          <w:rFonts w:ascii="Times New Roman" w:hAnsi="Times New Roman"/>
          <w:bCs/>
          <w:sz w:val="24"/>
          <w:szCs w:val="24"/>
        </w:rPr>
        <w:t>2.</w:t>
      </w:r>
      <w:r w:rsidR="00906F2B">
        <w:rPr>
          <w:rFonts w:ascii="Times New Roman" w:hAnsi="Times New Roman"/>
          <w:bCs/>
          <w:sz w:val="24"/>
          <w:szCs w:val="24"/>
        </w:rPr>
        <w:t>418.979,70</w:t>
      </w:r>
      <w:r w:rsidRPr="004055CC">
        <w:rPr>
          <w:rFonts w:ascii="Times New Roman" w:hAnsi="Times New Roman"/>
          <w:bCs/>
          <w:sz w:val="24"/>
          <w:szCs w:val="24"/>
        </w:rPr>
        <w:t xml:space="preserve"> eura</w:t>
      </w:r>
      <w:r w:rsidR="00810F3A" w:rsidRPr="004055CC">
        <w:rPr>
          <w:rFonts w:ascii="Times New Roman" w:hAnsi="Times New Roman"/>
          <w:bCs/>
          <w:sz w:val="24"/>
          <w:szCs w:val="24"/>
        </w:rPr>
        <w:t xml:space="preserve">, a </w:t>
      </w:r>
      <w:r w:rsidR="005E20FC" w:rsidRPr="004055CC">
        <w:rPr>
          <w:rFonts w:ascii="Times New Roman" w:hAnsi="Times New Roman"/>
          <w:bCs/>
          <w:sz w:val="24"/>
          <w:szCs w:val="24"/>
        </w:rPr>
        <w:t xml:space="preserve">ostvareni višak na polugodištu se najvećim dijelom odnosi na sredstva </w:t>
      </w:r>
      <w:r w:rsidR="005E20FC" w:rsidRPr="003F4018">
        <w:rPr>
          <w:rFonts w:ascii="Times New Roman" w:hAnsi="Times New Roman"/>
          <w:bCs/>
          <w:sz w:val="24"/>
          <w:szCs w:val="24"/>
        </w:rPr>
        <w:t xml:space="preserve">dobivena iz </w:t>
      </w:r>
      <w:r w:rsidR="003F4018" w:rsidRPr="003F4018">
        <w:rPr>
          <w:rFonts w:ascii="Times New Roman" w:hAnsi="Times New Roman"/>
          <w:bCs/>
          <w:sz w:val="24"/>
          <w:szCs w:val="24"/>
        </w:rPr>
        <w:t>izvora 11 za temeljno financiranje znanstvene i umjetničke djelatnosti Sveučilišta u Zagrebu.</w:t>
      </w:r>
    </w:p>
    <w:p w:rsidR="00810F3A" w:rsidRPr="00C43A77" w:rsidRDefault="000A12F6" w:rsidP="00810F3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43A77">
        <w:rPr>
          <w:rFonts w:ascii="Times New Roman" w:hAnsi="Times New Roman"/>
          <w:bCs/>
          <w:sz w:val="24"/>
          <w:szCs w:val="24"/>
        </w:rPr>
        <w:t>I</w:t>
      </w:r>
      <w:r w:rsidR="00810F3A" w:rsidRPr="00C43A77">
        <w:rPr>
          <w:rFonts w:ascii="Times New Roman" w:hAnsi="Times New Roman"/>
          <w:bCs/>
          <w:sz w:val="24"/>
          <w:szCs w:val="24"/>
        </w:rPr>
        <w:t xml:space="preserve">zvor 31 – </w:t>
      </w:r>
      <w:r w:rsidR="00906F2B">
        <w:rPr>
          <w:rFonts w:ascii="Times New Roman" w:hAnsi="Times New Roman"/>
          <w:bCs/>
          <w:sz w:val="24"/>
          <w:szCs w:val="24"/>
        </w:rPr>
        <w:t>84.081,06 eura</w:t>
      </w:r>
      <w:r w:rsidRPr="00C43A77">
        <w:rPr>
          <w:rFonts w:ascii="Times New Roman" w:hAnsi="Times New Roman"/>
          <w:bCs/>
          <w:sz w:val="24"/>
          <w:szCs w:val="24"/>
        </w:rPr>
        <w:t>, višak vlastitih sredstava ostvaren u prethodni</w:t>
      </w:r>
      <w:r w:rsidR="001F5B6B" w:rsidRPr="00C43A77">
        <w:rPr>
          <w:rFonts w:ascii="Times New Roman" w:hAnsi="Times New Roman"/>
          <w:bCs/>
          <w:sz w:val="24"/>
          <w:szCs w:val="24"/>
        </w:rPr>
        <w:t>m razdobljima prenosi se u sl</w:t>
      </w:r>
      <w:r w:rsidRPr="00C43A77">
        <w:rPr>
          <w:rFonts w:ascii="Times New Roman" w:hAnsi="Times New Roman"/>
          <w:bCs/>
          <w:sz w:val="24"/>
          <w:szCs w:val="24"/>
        </w:rPr>
        <w:t xml:space="preserve">jedeće razdoblje i koristit će se za pokriće redovitog poslovanja Fakulteta, kao i za rashode nabave nefinancijske imovine. </w:t>
      </w:r>
    </w:p>
    <w:p w:rsidR="00810F3A" w:rsidRPr="00C43A77" w:rsidRDefault="000A12F6" w:rsidP="00810F3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43A77">
        <w:rPr>
          <w:rFonts w:ascii="Times New Roman" w:hAnsi="Times New Roman"/>
          <w:bCs/>
          <w:sz w:val="24"/>
          <w:szCs w:val="24"/>
        </w:rPr>
        <w:t>I</w:t>
      </w:r>
      <w:r w:rsidR="00810F3A" w:rsidRPr="00C43A77">
        <w:rPr>
          <w:rFonts w:ascii="Times New Roman" w:hAnsi="Times New Roman"/>
          <w:bCs/>
          <w:sz w:val="24"/>
          <w:szCs w:val="24"/>
        </w:rPr>
        <w:t>zvor 43</w:t>
      </w:r>
      <w:r w:rsidRPr="00C43A77">
        <w:rPr>
          <w:rFonts w:ascii="Times New Roman" w:hAnsi="Times New Roman"/>
          <w:bCs/>
          <w:sz w:val="24"/>
          <w:szCs w:val="24"/>
        </w:rPr>
        <w:t xml:space="preserve"> –</w:t>
      </w:r>
      <w:r w:rsidR="005E20FC" w:rsidRPr="00C43A77">
        <w:rPr>
          <w:rFonts w:ascii="Times New Roman" w:hAnsi="Times New Roman"/>
          <w:bCs/>
          <w:sz w:val="24"/>
          <w:szCs w:val="24"/>
        </w:rPr>
        <w:t xml:space="preserve"> </w:t>
      </w:r>
      <w:r w:rsidR="00906F2B">
        <w:rPr>
          <w:rFonts w:ascii="Times New Roman" w:hAnsi="Times New Roman"/>
          <w:bCs/>
          <w:sz w:val="24"/>
          <w:szCs w:val="24"/>
        </w:rPr>
        <w:t>2.206.949,20 eura</w:t>
      </w:r>
      <w:r w:rsidRPr="00C43A77">
        <w:rPr>
          <w:rFonts w:ascii="Times New Roman" w:hAnsi="Times New Roman"/>
          <w:bCs/>
          <w:sz w:val="24"/>
          <w:szCs w:val="24"/>
        </w:rPr>
        <w:t xml:space="preserve">, višak namjenskih sredstava ostvaren u prethodnim razdobljima prenosi se </w:t>
      </w:r>
      <w:r w:rsidR="001F5B6B" w:rsidRPr="00C43A77">
        <w:rPr>
          <w:rFonts w:ascii="Times New Roman" w:hAnsi="Times New Roman"/>
          <w:bCs/>
          <w:sz w:val="24"/>
          <w:szCs w:val="24"/>
        </w:rPr>
        <w:t>u sl</w:t>
      </w:r>
      <w:r w:rsidRPr="00C43A77">
        <w:rPr>
          <w:rFonts w:ascii="Times New Roman" w:hAnsi="Times New Roman"/>
          <w:bCs/>
          <w:sz w:val="24"/>
          <w:szCs w:val="24"/>
        </w:rPr>
        <w:t xml:space="preserve">jedeće razdoblje i koristit će se za pokriće redovitog poslovanja Fakulteta, kao i za rashode nabave nefinancijske imovine. </w:t>
      </w:r>
    </w:p>
    <w:p w:rsidR="00810F3A" w:rsidRPr="00C43A77" w:rsidRDefault="005E20FC" w:rsidP="00810F3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43A77">
        <w:rPr>
          <w:rFonts w:ascii="Times New Roman" w:hAnsi="Times New Roman"/>
          <w:bCs/>
          <w:sz w:val="24"/>
          <w:szCs w:val="24"/>
        </w:rPr>
        <w:t>I</w:t>
      </w:r>
      <w:r w:rsidR="00810F3A" w:rsidRPr="00C43A77">
        <w:rPr>
          <w:rFonts w:ascii="Times New Roman" w:hAnsi="Times New Roman"/>
          <w:bCs/>
          <w:sz w:val="24"/>
          <w:szCs w:val="24"/>
        </w:rPr>
        <w:t>zvor 52</w:t>
      </w:r>
      <w:r w:rsidR="000A12F6" w:rsidRPr="00C43A77">
        <w:rPr>
          <w:rFonts w:ascii="Times New Roman" w:hAnsi="Times New Roman"/>
          <w:bCs/>
          <w:sz w:val="24"/>
          <w:szCs w:val="24"/>
        </w:rPr>
        <w:t xml:space="preserve"> – </w:t>
      </w:r>
      <w:r w:rsidR="00906F2B">
        <w:rPr>
          <w:rFonts w:ascii="Times New Roman" w:hAnsi="Times New Roman"/>
          <w:bCs/>
          <w:sz w:val="24"/>
          <w:szCs w:val="24"/>
        </w:rPr>
        <w:t>127.307,62 eura</w:t>
      </w:r>
      <w:r w:rsidRPr="00C43A77">
        <w:rPr>
          <w:rFonts w:ascii="Times New Roman" w:hAnsi="Times New Roman"/>
          <w:bCs/>
          <w:sz w:val="24"/>
          <w:szCs w:val="24"/>
        </w:rPr>
        <w:t>, višak sredstava od ostalih pomoći prenosi se u sljedeće razdoblje i koristit će se za pokriće rashoda ugovorenih projekata.</w:t>
      </w:r>
    </w:p>
    <w:p w:rsidR="00810F3A" w:rsidRPr="00C43A77" w:rsidRDefault="005E20FC" w:rsidP="00810F3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43A77">
        <w:rPr>
          <w:rFonts w:ascii="Times New Roman" w:hAnsi="Times New Roman"/>
          <w:bCs/>
          <w:sz w:val="24"/>
          <w:szCs w:val="24"/>
        </w:rPr>
        <w:t>I</w:t>
      </w:r>
      <w:r w:rsidR="000A12F6" w:rsidRPr="00C43A77">
        <w:rPr>
          <w:rFonts w:ascii="Times New Roman" w:hAnsi="Times New Roman"/>
          <w:bCs/>
          <w:sz w:val="24"/>
          <w:szCs w:val="24"/>
        </w:rPr>
        <w:t>zvor 61 –</w:t>
      </w:r>
      <w:r w:rsidRPr="00C43A77">
        <w:rPr>
          <w:rFonts w:ascii="Times New Roman" w:hAnsi="Times New Roman"/>
          <w:bCs/>
          <w:sz w:val="24"/>
          <w:szCs w:val="24"/>
        </w:rPr>
        <w:t xml:space="preserve"> </w:t>
      </w:r>
      <w:r w:rsidR="00906F2B">
        <w:rPr>
          <w:rFonts w:ascii="Times New Roman" w:hAnsi="Times New Roman"/>
          <w:bCs/>
          <w:sz w:val="24"/>
          <w:szCs w:val="24"/>
        </w:rPr>
        <w:t>641,82 eura</w:t>
      </w:r>
      <w:r w:rsidRPr="00C43A77">
        <w:rPr>
          <w:rFonts w:ascii="Times New Roman" w:hAnsi="Times New Roman"/>
          <w:bCs/>
          <w:sz w:val="24"/>
          <w:szCs w:val="24"/>
        </w:rPr>
        <w:t>, višak sredstava od donacija utrošit će se namjenski u skladu s ugovorenim donacijama.</w:t>
      </w:r>
    </w:p>
    <w:p w:rsidR="00471DA4" w:rsidRDefault="00471DA4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055CC" w:rsidRPr="00906F2B" w:rsidRDefault="004055CC" w:rsidP="004055CC">
      <w:pPr>
        <w:jc w:val="both"/>
        <w:rPr>
          <w:rFonts w:ascii="Times New Roman" w:hAnsi="Times New Roman"/>
          <w:b/>
          <w:sz w:val="24"/>
          <w:szCs w:val="24"/>
        </w:rPr>
      </w:pPr>
      <w:r w:rsidRPr="00906F2B">
        <w:rPr>
          <w:rFonts w:ascii="Times New Roman" w:hAnsi="Times New Roman"/>
          <w:b/>
          <w:sz w:val="24"/>
          <w:szCs w:val="24"/>
        </w:rPr>
        <w:t>STANJE NOVČANIH SRE</w:t>
      </w:r>
      <w:r w:rsidR="00B30C8C" w:rsidRPr="00906F2B">
        <w:rPr>
          <w:rFonts w:ascii="Times New Roman" w:hAnsi="Times New Roman"/>
          <w:b/>
          <w:sz w:val="24"/>
          <w:szCs w:val="24"/>
        </w:rPr>
        <w:t>D</w:t>
      </w:r>
      <w:r w:rsidRPr="00906F2B">
        <w:rPr>
          <w:rFonts w:ascii="Times New Roman" w:hAnsi="Times New Roman"/>
          <w:b/>
          <w:sz w:val="24"/>
          <w:szCs w:val="24"/>
        </w:rPr>
        <w:t>STAVA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5"/>
        <w:gridCol w:w="3464"/>
        <w:gridCol w:w="3459"/>
      </w:tblGrid>
      <w:tr w:rsidR="004055CC" w:rsidRPr="00152DF9" w:rsidTr="002236BB">
        <w:trPr>
          <w:trHeight w:val="734"/>
        </w:trPr>
        <w:tc>
          <w:tcPr>
            <w:tcW w:w="2705" w:type="dxa"/>
          </w:tcPr>
          <w:p w:rsidR="004055CC" w:rsidRPr="00152DF9" w:rsidRDefault="004055CC" w:rsidP="00FC74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vAlign w:val="center"/>
          </w:tcPr>
          <w:p w:rsidR="004055CC" w:rsidRPr="00152DF9" w:rsidRDefault="004055CC" w:rsidP="0007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F9">
              <w:rPr>
                <w:rFonts w:ascii="Times New Roman" w:hAnsi="Times New Roman"/>
                <w:sz w:val="24"/>
                <w:szCs w:val="24"/>
              </w:rPr>
              <w:t>Stanje novč</w:t>
            </w:r>
            <w:r w:rsidR="006F4101">
              <w:rPr>
                <w:rFonts w:ascii="Times New Roman" w:hAnsi="Times New Roman"/>
                <w:sz w:val="24"/>
                <w:szCs w:val="24"/>
              </w:rPr>
              <w:t>anih sredstava na dan 01.01.2025</w:t>
            </w:r>
            <w:r w:rsidRPr="00152D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59" w:type="dxa"/>
            <w:vAlign w:val="center"/>
          </w:tcPr>
          <w:p w:rsidR="004055CC" w:rsidRPr="00152DF9" w:rsidRDefault="004055CC" w:rsidP="0007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F9">
              <w:rPr>
                <w:rFonts w:ascii="Times New Roman" w:hAnsi="Times New Roman"/>
                <w:sz w:val="24"/>
                <w:szCs w:val="24"/>
              </w:rPr>
              <w:t>Stanje novč</w:t>
            </w:r>
            <w:r w:rsidR="006F4101">
              <w:rPr>
                <w:rFonts w:ascii="Times New Roman" w:hAnsi="Times New Roman"/>
                <w:sz w:val="24"/>
                <w:szCs w:val="24"/>
              </w:rPr>
              <w:t>anih sredstava na dan 30.06.2025</w:t>
            </w:r>
            <w:r w:rsidRPr="00152D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55CC" w:rsidRPr="00152DF9" w:rsidTr="002236BB">
        <w:trPr>
          <w:trHeight w:val="653"/>
        </w:trPr>
        <w:tc>
          <w:tcPr>
            <w:tcW w:w="2705" w:type="dxa"/>
            <w:vAlign w:val="center"/>
          </w:tcPr>
          <w:p w:rsidR="004055CC" w:rsidRPr="00152DF9" w:rsidRDefault="004055CC" w:rsidP="0007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F9">
              <w:rPr>
                <w:rFonts w:ascii="Times New Roman" w:hAnsi="Times New Roman"/>
                <w:sz w:val="24"/>
                <w:szCs w:val="24"/>
              </w:rPr>
              <w:t>Stanje novčanih sredstava</w:t>
            </w:r>
            <w:r w:rsidR="00416000">
              <w:rPr>
                <w:rFonts w:ascii="Times New Roman" w:hAnsi="Times New Roman"/>
                <w:sz w:val="24"/>
                <w:szCs w:val="24"/>
              </w:rPr>
              <w:t xml:space="preserve"> u eurima</w:t>
            </w:r>
          </w:p>
        </w:tc>
        <w:tc>
          <w:tcPr>
            <w:tcW w:w="3464" w:type="dxa"/>
            <w:vAlign w:val="center"/>
          </w:tcPr>
          <w:p w:rsidR="004055CC" w:rsidRPr="00152DF9" w:rsidRDefault="00906F2B" w:rsidP="00416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2.110.513,06</w:t>
            </w:r>
          </w:p>
        </w:tc>
        <w:tc>
          <w:tcPr>
            <w:tcW w:w="3459" w:type="dxa"/>
            <w:vAlign w:val="center"/>
          </w:tcPr>
          <w:p w:rsidR="004055CC" w:rsidRPr="00152DF9" w:rsidRDefault="00EE51FF" w:rsidP="00416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2.572.325,09</w:t>
            </w:r>
          </w:p>
        </w:tc>
      </w:tr>
    </w:tbl>
    <w:p w:rsidR="004F20E7" w:rsidRDefault="004F20E7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B23AD" w:rsidRPr="00152DF9" w:rsidRDefault="009B23AD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152DF9" w:rsidRDefault="0020045D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52DF9">
        <w:rPr>
          <w:rFonts w:ascii="Times New Roman" w:hAnsi="Times New Roman"/>
          <w:bCs/>
          <w:sz w:val="24"/>
          <w:szCs w:val="24"/>
        </w:rPr>
        <w:t xml:space="preserve">Zagreb, </w:t>
      </w:r>
      <w:r w:rsidR="00DF7A63" w:rsidRPr="00152DF9">
        <w:rPr>
          <w:rFonts w:ascii="Times New Roman" w:hAnsi="Times New Roman"/>
          <w:bCs/>
          <w:sz w:val="24"/>
          <w:szCs w:val="24"/>
        </w:rPr>
        <w:t>1</w:t>
      </w:r>
      <w:r w:rsidR="006F4101">
        <w:rPr>
          <w:rFonts w:ascii="Times New Roman" w:hAnsi="Times New Roman"/>
          <w:bCs/>
          <w:sz w:val="24"/>
          <w:szCs w:val="24"/>
        </w:rPr>
        <w:t>0. srpnja 2025</w:t>
      </w:r>
      <w:r w:rsidR="000C38BB" w:rsidRPr="00152DF9">
        <w:rPr>
          <w:rFonts w:ascii="Times New Roman" w:hAnsi="Times New Roman"/>
          <w:bCs/>
          <w:sz w:val="24"/>
          <w:szCs w:val="24"/>
        </w:rPr>
        <w:t>.</w:t>
      </w:r>
    </w:p>
    <w:p w:rsidR="000C38BB" w:rsidRPr="00152DF9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152DF9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52D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Dekan:</w:t>
      </w:r>
    </w:p>
    <w:p w:rsidR="000C38BB" w:rsidRPr="00152DF9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52D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____________________________                                       </w:t>
      </w:r>
    </w:p>
    <w:p w:rsidR="00B55A24" w:rsidRPr="00152DF9" w:rsidRDefault="000C38BB" w:rsidP="0082637D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152D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BB7B3A" w:rsidRPr="00152DF9">
        <w:rPr>
          <w:rFonts w:ascii="Times New Roman" w:hAnsi="Times New Roman"/>
          <w:sz w:val="24"/>
          <w:szCs w:val="24"/>
        </w:rPr>
        <w:t xml:space="preserve">    Prof.dr.sc. </w:t>
      </w:r>
      <w:r w:rsidR="006F4101">
        <w:rPr>
          <w:rFonts w:ascii="Times New Roman" w:hAnsi="Times New Roman"/>
          <w:sz w:val="24"/>
          <w:szCs w:val="24"/>
        </w:rPr>
        <w:t xml:space="preserve">Marin </w:t>
      </w:r>
      <w:proofErr w:type="spellStart"/>
      <w:r w:rsidR="006F4101">
        <w:rPr>
          <w:rFonts w:ascii="Times New Roman" w:hAnsi="Times New Roman"/>
          <w:sz w:val="24"/>
          <w:szCs w:val="24"/>
        </w:rPr>
        <w:t>Vodanović</w:t>
      </w:r>
      <w:proofErr w:type="spellEnd"/>
    </w:p>
    <w:sectPr w:rsidR="00B55A24" w:rsidRPr="00152DF9" w:rsidSect="00E93F46">
      <w:footerReference w:type="default" r:id="rId7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024" w:rsidRDefault="00964024" w:rsidP="00364558">
      <w:r>
        <w:separator/>
      </w:r>
    </w:p>
  </w:endnote>
  <w:endnote w:type="continuationSeparator" w:id="0">
    <w:p w:rsidR="00964024" w:rsidRDefault="00964024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080220"/>
      <w:docPartObj>
        <w:docPartGallery w:val="Page Numbers (Bottom of Page)"/>
        <w:docPartUnique/>
      </w:docPartObj>
    </w:sdtPr>
    <w:sdtEndPr/>
    <w:sdtContent>
      <w:p w:rsidR="00FC748B" w:rsidRDefault="00FC748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1BB">
          <w:rPr>
            <w:noProof/>
          </w:rPr>
          <w:t>4</w:t>
        </w:r>
        <w:r>
          <w:fldChar w:fldCharType="end"/>
        </w:r>
      </w:p>
    </w:sdtContent>
  </w:sdt>
  <w:p w:rsidR="00FC748B" w:rsidRDefault="00FC7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024" w:rsidRDefault="00964024" w:rsidP="00364558">
      <w:r>
        <w:separator/>
      </w:r>
    </w:p>
  </w:footnote>
  <w:footnote w:type="continuationSeparator" w:id="0">
    <w:p w:rsidR="00964024" w:rsidRDefault="00964024" w:rsidP="0036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60DFC"/>
    <w:multiLevelType w:val="hybridMultilevel"/>
    <w:tmpl w:val="C92C47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7E4D"/>
    <w:multiLevelType w:val="hybridMultilevel"/>
    <w:tmpl w:val="BC1634E4"/>
    <w:lvl w:ilvl="0" w:tplc="080626B8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0884BFE"/>
    <w:multiLevelType w:val="hybridMultilevel"/>
    <w:tmpl w:val="ED243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2BE8"/>
    <w:multiLevelType w:val="hybridMultilevel"/>
    <w:tmpl w:val="B43254EE"/>
    <w:lvl w:ilvl="0" w:tplc="1DA8F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76598"/>
    <w:multiLevelType w:val="hybridMultilevel"/>
    <w:tmpl w:val="9AE603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102CB"/>
    <w:multiLevelType w:val="hybridMultilevel"/>
    <w:tmpl w:val="F572DBB6"/>
    <w:lvl w:ilvl="0" w:tplc="138055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D6D"/>
    <w:multiLevelType w:val="hybridMultilevel"/>
    <w:tmpl w:val="8A18629E"/>
    <w:lvl w:ilvl="0" w:tplc="9CB6683E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24"/>
    <w:rsid w:val="00012890"/>
    <w:rsid w:val="00075D39"/>
    <w:rsid w:val="000801C6"/>
    <w:rsid w:val="000840B1"/>
    <w:rsid w:val="000862C3"/>
    <w:rsid w:val="000A12F6"/>
    <w:rsid w:val="000C356D"/>
    <w:rsid w:val="000C38BB"/>
    <w:rsid w:val="000C6CE9"/>
    <w:rsid w:val="001063FB"/>
    <w:rsid w:val="00124B9E"/>
    <w:rsid w:val="00133501"/>
    <w:rsid w:val="00152DF9"/>
    <w:rsid w:val="001555B0"/>
    <w:rsid w:val="00157EB7"/>
    <w:rsid w:val="00162989"/>
    <w:rsid w:val="001735B6"/>
    <w:rsid w:val="00191015"/>
    <w:rsid w:val="00197212"/>
    <w:rsid w:val="00197397"/>
    <w:rsid w:val="001A0921"/>
    <w:rsid w:val="001B3C91"/>
    <w:rsid w:val="001B7C59"/>
    <w:rsid w:val="001E4627"/>
    <w:rsid w:val="001E5C18"/>
    <w:rsid w:val="001F5B6B"/>
    <w:rsid w:val="0020045D"/>
    <w:rsid w:val="00202FCA"/>
    <w:rsid w:val="002154C7"/>
    <w:rsid w:val="0022141D"/>
    <w:rsid w:val="002236BB"/>
    <w:rsid w:val="002251E8"/>
    <w:rsid w:val="0026744B"/>
    <w:rsid w:val="00280328"/>
    <w:rsid w:val="00286634"/>
    <w:rsid w:val="0028762D"/>
    <w:rsid w:val="00295B22"/>
    <w:rsid w:val="002A25EE"/>
    <w:rsid w:val="002A70A4"/>
    <w:rsid w:val="002B53FB"/>
    <w:rsid w:val="002C3CF0"/>
    <w:rsid w:val="002C5CFF"/>
    <w:rsid w:val="002C7E4C"/>
    <w:rsid w:val="002E6055"/>
    <w:rsid w:val="002F17A3"/>
    <w:rsid w:val="0030335B"/>
    <w:rsid w:val="00310271"/>
    <w:rsid w:val="00324205"/>
    <w:rsid w:val="0032700C"/>
    <w:rsid w:val="00334EB6"/>
    <w:rsid w:val="00343FF7"/>
    <w:rsid w:val="00352D66"/>
    <w:rsid w:val="00364558"/>
    <w:rsid w:val="003659E6"/>
    <w:rsid w:val="00382E1A"/>
    <w:rsid w:val="003B587F"/>
    <w:rsid w:val="003C29B2"/>
    <w:rsid w:val="003D3146"/>
    <w:rsid w:val="003D489F"/>
    <w:rsid w:val="003F4018"/>
    <w:rsid w:val="003F74FC"/>
    <w:rsid w:val="004055CC"/>
    <w:rsid w:val="00411262"/>
    <w:rsid w:val="00416000"/>
    <w:rsid w:val="00421F61"/>
    <w:rsid w:val="00440955"/>
    <w:rsid w:val="00471DA4"/>
    <w:rsid w:val="00471F3A"/>
    <w:rsid w:val="00476288"/>
    <w:rsid w:val="00496216"/>
    <w:rsid w:val="004A36F9"/>
    <w:rsid w:val="004B2E37"/>
    <w:rsid w:val="004B6973"/>
    <w:rsid w:val="004C4D50"/>
    <w:rsid w:val="004F20E7"/>
    <w:rsid w:val="00506079"/>
    <w:rsid w:val="00516C6C"/>
    <w:rsid w:val="005247BE"/>
    <w:rsid w:val="005302B2"/>
    <w:rsid w:val="00532BAB"/>
    <w:rsid w:val="00535727"/>
    <w:rsid w:val="00535B9F"/>
    <w:rsid w:val="005468E4"/>
    <w:rsid w:val="005541F5"/>
    <w:rsid w:val="0059737F"/>
    <w:rsid w:val="005A58F8"/>
    <w:rsid w:val="005B5C25"/>
    <w:rsid w:val="005C0CBB"/>
    <w:rsid w:val="005D084D"/>
    <w:rsid w:val="005D6CF4"/>
    <w:rsid w:val="005E20FC"/>
    <w:rsid w:val="005E6D1E"/>
    <w:rsid w:val="005E7E6C"/>
    <w:rsid w:val="00607040"/>
    <w:rsid w:val="00613423"/>
    <w:rsid w:val="00622463"/>
    <w:rsid w:val="00626273"/>
    <w:rsid w:val="00656A92"/>
    <w:rsid w:val="006653D9"/>
    <w:rsid w:val="006820E9"/>
    <w:rsid w:val="00692F7F"/>
    <w:rsid w:val="006A582F"/>
    <w:rsid w:val="006A70C7"/>
    <w:rsid w:val="006B5871"/>
    <w:rsid w:val="006D0BC1"/>
    <w:rsid w:val="006D5E5B"/>
    <w:rsid w:val="006F4101"/>
    <w:rsid w:val="006F7BB0"/>
    <w:rsid w:val="006F7F84"/>
    <w:rsid w:val="00704821"/>
    <w:rsid w:val="00742C4C"/>
    <w:rsid w:val="0075195F"/>
    <w:rsid w:val="0075768C"/>
    <w:rsid w:val="00772DC7"/>
    <w:rsid w:val="007A41A7"/>
    <w:rsid w:val="007C60D4"/>
    <w:rsid w:val="007D550F"/>
    <w:rsid w:val="00802FB1"/>
    <w:rsid w:val="00810F3A"/>
    <w:rsid w:val="00813136"/>
    <w:rsid w:val="0082637D"/>
    <w:rsid w:val="00831A46"/>
    <w:rsid w:val="00834D14"/>
    <w:rsid w:val="00870B91"/>
    <w:rsid w:val="00881BC3"/>
    <w:rsid w:val="00886A78"/>
    <w:rsid w:val="008A6B1F"/>
    <w:rsid w:val="008B367A"/>
    <w:rsid w:val="008C5267"/>
    <w:rsid w:val="008D0E39"/>
    <w:rsid w:val="008F2F06"/>
    <w:rsid w:val="00906F2B"/>
    <w:rsid w:val="00942C4A"/>
    <w:rsid w:val="00961327"/>
    <w:rsid w:val="0096353E"/>
    <w:rsid w:val="00964024"/>
    <w:rsid w:val="00972C4A"/>
    <w:rsid w:val="00974C80"/>
    <w:rsid w:val="009851BB"/>
    <w:rsid w:val="00996839"/>
    <w:rsid w:val="009B2380"/>
    <w:rsid w:val="009B23AD"/>
    <w:rsid w:val="009D79CD"/>
    <w:rsid w:val="009E4788"/>
    <w:rsid w:val="009E4F38"/>
    <w:rsid w:val="00A31F1B"/>
    <w:rsid w:val="00A414E2"/>
    <w:rsid w:val="00A42872"/>
    <w:rsid w:val="00A519EE"/>
    <w:rsid w:val="00A63DCA"/>
    <w:rsid w:val="00A641DA"/>
    <w:rsid w:val="00A769FB"/>
    <w:rsid w:val="00A80C82"/>
    <w:rsid w:val="00A81F0E"/>
    <w:rsid w:val="00A838DD"/>
    <w:rsid w:val="00AB3778"/>
    <w:rsid w:val="00AB7EC6"/>
    <w:rsid w:val="00AC0436"/>
    <w:rsid w:val="00AD1CC7"/>
    <w:rsid w:val="00AE4B2C"/>
    <w:rsid w:val="00AF3B94"/>
    <w:rsid w:val="00AF704F"/>
    <w:rsid w:val="00B07E8A"/>
    <w:rsid w:val="00B155B7"/>
    <w:rsid w:val="00B30C8C"/>
    <w:rsid w:val="00B5135E"/>
    <w:rsid w:val="00B55A24"/>
    <w:rsid w:val="00B610B9"/>
    <w:rsid w:val="00B67006"/>
    <w:rsid w:val="00B71C71"/>
    <w:rsid w:val="00BB7B3A"/>
    <w:rsid w:val="00BE49F5"/>
    <w:rsid w:val="00BF4AEB"/>
    <w:rsid w:val="00C03296"/>
    <w:rsid w:val="00C22790"/>
    <w:rsid w:val="00C26986"/>
    <w:rsid w:val="00C43A77"/>
    <w:rsid w:val="00C55CF9"/>
    <w:rsid w:val="00C56DD1"/>
    <w:rsid w:val="00C57B3F"/>
    <w:rsid w:val="00C61C83"/>
    <w:rsid w:val="00C67039"/>
    <w:rsid w:val="00C978D1"/>
    <w:rsid w:val="00CA2F47"/>
    <w:rsid w:val="00CC03AB"/>
    <w:rsid w:val="00CC3BA5"/>
    <w:rsid w:val="00CC4D0C"/>
    <w:rsid w:val="00CC4FD9"/>
    <w:rsid w:val="00CD3D10"/>
    <w:rsid w:val="00CF2CD2"/>
    <w:rsid w:val="00CF6D6D"/>
    <w:rsid w:val="00D074B4"/>
    <w:rsid w:val="00D32D18"/>
    <w:rsid w:val="00D417B0"/>
    <w:rsid w:val="00D662B8"/>
    <w:rsid w:val="00D75999"/>
    <w:rsid w:val="00D97AF1"/>
    <w:rsid w:val="00DA5E0E"/>
    <w:rsid w:val="00DC1E38"/>
    <w:rsid w:val="00DC32C3"/>
    <w:rsid w:val="00DD2BCE"/>
    <w:rsid w:val="00DE2D24"/>
    <w:rsid w:val="00DF7A63"/>
    <w:rsid w:val="00E01CEF"/>
    <w:rsid w:val="00E14157"/>
    <w:rsid w:val="00E15315"/>
    <w:rsid w:val="00E5379B"/>
    <w:rsid w:val="00E6348D"/>
    <w:rsid w:val="00E6419F"/>
    <w:rsid w:val="00E668EF"/>
    <w:rsid w:val="00E86EFF"/>
    <w:rsid w:val="00E93F46"/>
    <w:rsid w:val="00EB4EF5"/>
    <w:rsid w:val="00EB778A"/>
    <w:rsid w:val="00EC7664"/>
    <w:rsid w:val="00EE51FF"/>
    <w:rsid w:val="00EF3673"/>
    <w:rsid w:val="00F17949"/>
    <w:rsid w:val="00F45C10"/>
    <w:rsid w:val="00F62C7B"/>
    <w:rsid w:val="00F74DC1"/>
    <w:rsid w:val="00F85A03"/>
    <w:rsid w:val="00F951B1"/>
    <w:rsid w:val="00FA2A5D"/>
    <w:rsid w:val="00FA5EE9"/>
    <w:rsid w:val="00FB2E8E"/>
    <w:rsid w:val="00FC05A9"/>
    <w:rsid w:val="00FC748B"/>
    <w:rsid w:val="00FD55AA"/>
    <w:rsid w:val="00FD6F19"/>
    <w:rsid w:val="00FE1606"/>
    <w:rsid w:val="00FE1998"/>
    <w:rsid w:val="00FE608A"/>
    <w:rsid w:val="00FE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0CBC9B1"/>
  <w15:docId w15:val="{3498034D-11B6-4267-9EAD-6B92D458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rtificate"/>
    <w:qFormat/>
    <w:rsid w:val="009613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697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202F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2FCA"/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E462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1818</Words>
  <Characters>10369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"Ana-Marija Fijala" &lt;fijala@sfzg.hr&gt;</dc:creator>
  <cp:lastModifiedBy>afijala</cp:lastModifiedBy>
  <cp:revision>14</cp:revision>
  <cp:lastPrinted>2024-07-15T11:24:00Z</cp:lastPrinted>
  <dcterms:created xsi:type="dcterms:W3CDTF">2024-07-16T10:39:00Z</dcterms:created>
  <dcterms:modified xsi:type="dcterms:W3CDTF">2025-07-09T09:55:00Z</dcterms:modified>
</cp:coreProperties>
</file>